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right" w:pos="9639"/>
        </w:tabs>
        <w:kinsoku/>
        <w:wordWrap/>
        <w:overflowPunct w:val="0"/>
        <w:topLinePunct w:val="0"/>
        <w:autoSpaceDE w:val="0"/>
        <w:autoSpaceDN w:val="0"/>
        <w:bidi w:val="0"/>
        <w:adjustRightInd w:val="0"/>
        <w:spacing w:after="160" w:line="240" w:lineRule="auto"/>
        <w:jc w:val="both"/>
        <w:textAlignment w:val="baseline"/>
        <w:rPr>
          <w:rFonts w:hint="default" w:ascii="Arial" w:hAnsi="Arial" w:eastAsia="宋体" w:cs="Times New Roman"/>
          <w:b/>
          <w:bCs/>
          <w:sz w:val="24"/>
          <w:szCs w:val="24"/>
          <w:lang w:val="en-US" w:eastAsia="zh-CN" w:bidi="ar-SA"/>
        </w:rPr>
      </w:pPr>
      <w:r>
        <w:rPr>
          <w:rFonts w:ascii="Arial" w:hAnsi="Arial" w:eastAsia="宋体" w:cs="Times New Roman"/>
          <w:b/>
          <w:bCs/>
          <w:sz w:val="24"/>
          <w:szCs w:val="24"/>
          <w:lang w:val="en-GB" w:eastAsia="ja-JP" w:bidi="ar-SA"/>
        </w:rPr>
        <w:t>3GPP TSG-RAN WG2 Meeting #121</w:t>
      </w:r>
      <w:r>
        <w:rPr>
          <w:rFonts w:hint="eastAsia" w:ascii="Arial" w:hAnsi="Arial" w:eastAsia="宋体" w:cs="Times New Roman"/>
          <w:b/>
          <w:bCs/>
          <w:sz w:val="24"/>
          <w:szCs w:val="24"/>
          <w:lang w:val="en-US" w:eastAsia="zh-CN" w:bidi="ar-SA"/>
        </w:rPr>
        <w:t xml:space="preserve"> </w:t>
      </w:r>
      <w:r>
        <w:rPr>
          <w:rFonts w:ascii="Arial" w:hAnsi="Arial" w:eastAsia="宋体" w:cs="Times New Roman"/>
          <w:b/>
          <w:bCs/>
          <w:sz w:val="24"/>
          <w:szCs w:val="24"/>
          <w:lang w:val="en-GB" w:eastAsia="zh-CN" w:bidi="ar-SA"/>
        </w:rPr>
        <w:t>electronic</w:t>
      </w:r>
      <w:r>
        <w:rPr>
          <w:rFonts w:ascii="Arial" w:hAnsi="Arial" w:eastAsia="宋体" w:cs="Times New Roman"/>
          <w:b/>
          <w:bCs/>
          <w:sz w:val="24"/>
          <w:szCs w:val="24"/>
          <w:lang w:val="en-GB" w:eastAsia="ja-JP" w:bidi="ar-SA"/>
        </w:rPr>
        <w:tab/>
      </w:r>
      <w:r>
        <w:rPr>
          <w:rFonts w:ascii="Arial" w:hAnsi="Arial" w:eastAsia="宋体" w:cs="Times New Roman"/>
          <w:b/>
          <w:bCs/>
          <w:sz w:val="24"/>
          <w:szCs w:val="24"/>
          <w:lang w:val="en-GB" w:eastAsia="ja-JP" w:bidi="ar-SA"/>
        </w:rPr>
        <w:t>R2-23</w:t>
      </w:r>
      <w:r>
        <w:rPr>
          <w:rFonts w:hint="eastAsia" w:ascii="Arial" w:hAnsi="Arial" w:eastAsia="宋体" w:cs="Times New Roman"/>
          <w:b/>
          <w:bCs/>
          <w:sz w:val="24"/>
          <w:szCs w:val="24"/>
          <w:lang w:val="en-US" w:eastAsia="zh-CN" w:bidi="ar-SA"/>
        </w:rPr>
        <w:t>03431</w:t>
      </w:r>
    </w:p>
    <w:p>
      <w:pPr>
        <w:keepNext w:val="0"/>
        <w:keepLines w:val="0"/>
        <w:pageBreakBefore w:val="0"/>
        <w:widowControl w:val="0"/>
        <w:tabs>
          <w:tab w:val="right" w:pos="9639"/>
        </w:tabs>
        <w:kinsoku/>
        <w:wordWrap/>
        <w:overflowPunct w:val="0"/>
        <w:topLinePunct w:val="0"/>
        <w:autoSpaceDE w:val="0"/>
        <w:autoSpaceDN w:val="0"/>
        <w:bidi w:val="0"/>
        <w:adjustRightInd w:val="0"/>
        <w:spacing w:after="160" w:line="240" w:lineRule="auto"/>
        <w:jc w:val="both"/>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April 17-26, 2023</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eastAsia="宋体" w:cs="Times New Roman"/>
          <w:b/>
          <w:bCs/>
          <w:sz w:val="24"/>
          <w:szCs w:val="24"/>
          <w:lang w:val="en-GB" w:eastAsia="zh-CN" w:bidi="ar-SA"/>
        </w:rPr>
      </w:pP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keepNext w:val="0"/>
        <w:keepLines w:val="0"/>
        <w:pageBreakBefore w:val="0"/>
        <w:widowControl w:val="0"/>
        <w:kinsoku/>
        <w:wordWrap/>
        <w:overflowPunct w:val="0"/>
        <w:topLinePunct w:val="0"/>
        <w:autoSpaceDE w:val="0"/>
        <w:autoSpaceDN w:val="0"/>
        <w:bidi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Height-dependent measurement configuration</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7.8.2</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keepNext w:val="0"/>
        <w:keepLines w:val="0"/>
        <w:pageBreakBefore w:val="0"/>
        <w:widowControl w:val="0"/>
        <w:numPr>
          <w:ilvl w:val="0"/>
          <w:numId w:val="0"/>
        </w:numPr>
        <w:kinsoku/>
        <w:wordWrap/>
        <w:overflowPunct/>
        <w:topLinePunct w:val="0"/>
        <w:autoSpaceDE/>
        <w:autoSpaceDN/>
        <w:bidi w:val="0"/>
        <w:adjustRightInd/>
        <w:spacing w:after="120" w:line="240" w:lineRule="auto"/>
        <w:jc w:val="both"/>
        <w:textAlignment w:val="auto"/>
        <w:rPr>
          <w:rFonts w:hint="default" w:ascii="Times New Roman" w:hAnsi="Times New Roman" w:cs="Times New Roman"/>
          <w:b w:val="0"/>
          <w:bCs w:val="0"/>
          <w:i w:val="0"/>
          <w:iCs w:val="0"/>
          <w:sz w:val="21"/>
          <w:szCs w:val="21"/>
          <w:u w:val="none"/>
          <w:lang w:val="en-US" w:eastAsia="zh-CN"/>
        </w:rPr>
      </w:pPr>
      <w:r>
        <w:rPr>
          <w:rFonts w:hint="eastAsia" w:ascii="Times New Roman" w:hAnsi="Times New Roman" w:cs="Times New Roman"/>
          <w:b w:val="0"/>
          <w:bCs w:val="0"/>
          <w:i w:val="0"/>
          <w:iCs w:val="0"/>
          <w:sz w:val="21"/>
          <w:szCs w:val="21"/>
          <w:u w:val="none"/>
          <w:lang w:val="en-US" w:eastAsia="zh-CN"/>
        </w:rPr>
        <w:t>In last RAN2 meeting</w:t>
      </w:r>
      <w:r>
        <w:rPr>
          <w:rFonts w:hint="eastAsia" w:cs="Times New Roman"/>
          <w:b w:val="0"/>
          <w:bCs w:val="0"/>
          <w:i w:val="0"/>
          <w:iCs w:val="0"/>
          <w:sz w:val="21"/>
          <w:szCs w:val="21"/>
          <w:u w:val="none"/>
          <w:lang w:val="en-US" w:eastAsia="zh-CN"/>
        </w:rPr>
        <w:t xml:space="preserve"> </w:t>
      </w:r>
      <w:r>
        <w:rPr>
          <w:rFonts w:hint="eastAsia" w:ascii="Times New Roman" w:hAnsi="Times New Roman" w:cs="Times New Roman"/>
          <w:b w:val="0"/>
          <w:bCs w:val="0"/>
          <w:i w:val="0"/>
          <w:iCs w:val="0"/>
          <w:sz w:val="21"/>
          <w:szCs w:val="21"/>
          <w:u w:val="none"/>
          <w:lang w:val="en-US" w:eastAsia="zh-CN"/>
        </w:rPr>
        <w:t>[1], following agreements are reached related to UAV mobility and interference control.</w:t>
      </w:r>
    </w:p>
    <w:p>
      <w:pPr>
        <w:keepNext w:val="0"/>
        <w:keepLines w:val="0"/>
        <w:pageBreakBefore w:val="0"/>
        <w:widowControl/>
        <w:numPr>
          <w:ilvl w:val="0"/>
          <w:numId w:val="0"/>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259" w:leftChars="0"/>
        <w:textAlignment w:val="auto"/>
        <w:rPr>
          <w:rFonts w:hint="default" w:ascii="Times New Roman" w:hAnsi="Times New Roman" w:eastAsia="宋体" w:cs="Times New Roman"/>
          <w:b/>
          <w:bCs/>
          <w:sz w:val="21"/>
          <w:szCs w:val="21"/>
          <w:lang w:val="en-US" w:eastAsia="zh-CN" w:bidi="ar-SA"/>
        </w:rPr>
      </w:pPr>
      <w:bookmarkStart w:id="2" w:name="OLE_LINK1"/>
      <w:r>
        <w:rPr>
          <w:rFonts w:hint="default" w:ascii="Times New Roman" w:hAnsi="Times New Roman" w:eastAsia="宋体" w:cs="Times New Roman"/>
          <w:b/>
          <w:bCs/>
          <w:sz w:val="21"/>
          <w:szCs w:val="21"/>
          <w:lang w:val="en-US" w:eastAsia="zh-CN" w:bidi="ar-SA"/>
        </w:rPr>
        <w:t xml:space="preserve">Agreements: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color w:val="auto"/>
          <w:sz w:val="21"/>
          <w:szCs w:val="21"/>
          <w:highlight w:val="none"/>
          <w:lang w:val="en-GB" w:eastAsia="en-GB" w:bidi="ar-SA"/>
        </w:rPr>
      </w:pPr>
      <w:r>
        <w:rPr>
          <w:rFonts w:hint="default" w:ascii="Times New Roman" w:hAnsi="Times New Roman" w:eastAsia="MS Mincho" w:cs="Times New Roman"/>
          <w:color w:val="auto"/>
          <w:sz w:val="21"/>
          <w:szCs w:val="21"/>
          <w:highlight w:val="none"/>
          <w:lang w:val="en-GB" w:eastAsia="en-GB" w:bidi="ar-SA"/>
        </w:rPr>
        <w:t xml:space="preserve">When event H1 or H2 triggers, the content of the measurement report is configurable by the network (i.e. it can contain UAV UEs height, location information and/or RSRP/RSRQ measurement results). FFS whether UAV UE’s height is mandatorily reported and which parameter/IE is used for height reporting.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i/>
          <w:iCs/>
          <w:color w:val="auto"/>
          <w:sz w:val="21"/>
          <w:szCs w:val="21"/>
          <w:highlight w:val="none"/>
          <w:lang w:val="en-GB" w:eastAsia="en-GB" w:bidi="ar-SA"/>
        </w:rPr>
      </w:pPr>
      <w:r>
        <w:rPr>
          <w:rFonts w:hint="default" w:ascii="Times New Roman" w:hAnsi="Times New Roman" w:eastAsia="MS Mincho" w:cs="Times New Roman"/>
          <w:color w:val="auto"/>
          <w:sz w:val="21"/>
          <w:szCs w:val="21"/>
          <w:highlight w:val="none"/>
          <w:lang w:val="en-GB" w:eastAsia="en-GB" w:bidi="ar-SA"/>
        </w:rPr>
        <w:t>Joint use of height-dependent condition and RSRP/RSRQ/SINR-based condition for measurement report triggering is supported in NR Rel-18 UAV.   The combination of existing events will be used</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Height-dependent parameter scaling is not supported as a part of Rel-18 NR</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Do not extend the Number of triggering cells mechanism to apply to the inter-RAT scenario, i.e. event B1 and B2 triggering</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 xml:space="preserve">Do not restrict the applicability of Number of triggering cells mechanism to FR1 only. In other words, the Number of triggering cells mechanism is applicable to FR1 and FR2 (up to network configuration).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The UE shall not ignore or bypass the Number of triggering cells mechanism, once configured.</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Do not introduce the use of a “numberOfTriggeringBeams” mechanism.</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 xml:space="preserve">Do not introduce an alternative mechanism to the Number of triggering cells mechanism.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 xml:space="preserve">Do not introduce an additional mechanism based on Number of changed cells.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 xml:space="preserve">For the purpose of interference control (i.e. for number of trigger cells), do not introduce a prohibit timer mechanism.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 xml:space="preserve">Report on leave is not triggered by a cell that was not previously included in the measurement report for the number of triggering cell.  </w:t>
      </w:r>
    </w:p>
    <w:p>
      <w:pPr>
        <w:keepNext w:val="0"/>
        <w:keepLines w:val="0"/>
        <w:pageBreakBefore w:val="0"/>
        <w:widowControl/>
        <w:numPr>
          <w:ilvl w:val="0"/>
          <w:numId w:val="0"/>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259" w:leftChars="0"/>
        <w:textAlignment w:val="auto"/>
        <w:rPr>
          <w:rFonts w:hint="default" w:ascii="Times New Roman" w:hAnsi="Times New Roman" w:eastAsia="MS Mincho" w:cs="Times New Roman"/>
          <w:sz w:val="21"/>
          <w:szCs w:val="21"/>
          <w:lang w:val="en-GB" w:eastAsia="en-GB" w:bidi="ar-SA"/>
        </w:rPr>
      </w:pP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22" w:hanging="363"/>
        <w:textAlignment w:val="auto"/>
        <w:rPr>
          <w:rFonts w:hint="default" w:ascii="Times New Roman" w:hAnsi="Times New Roman" w:eastAsia="MS Mincho" w:cs="Times New Roman"/>
          <w:b/>
          <w:bCs/>
          <w:sz w:val="21"/>
          <w:szCs w:val="21"/>
          <w:lang w:val="en-GB" w:eastAsia="en-GB" w:bidi="ar-SA"/>
        </w:rPr>
      </w:pPr>
      <w:r>
        <w:rPr>
          <w:rFonts w:hint="default" w:ascii="Times New Roman" w:hAnsi="Times New Roman" w:eastAsia="MS Mincho" w:cs="Times New Roman"/>
          <w:b/>
          <w:bCs/>
          <w:sz w:val="21"/>
          <w:szCs w:val="21"/>
          <w:lang w:val="en-GB" w:eastAsia="en-GB" w:bidi="ar-SA"/>
        </w:rPr>
        <w:t>Agreements:</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22" w:hanging="363"/>
        <w:textAlignment w:val="auto"/>
        <w:rPr>
          <w:rFonts w:hint="default" w:ascii="Times New Roman" w:hAnsi="Times New Roman" w:eastAsia="MS Mincho" w:cs="Times New Roman"/>
          <w:sz w:val="21"/>
          <w:szCs w:val="21"/>
          <w:lang w:val="en-GB" w:eastAsia="en-GB" w:bidi="ar-SA"/>
        </w:rPr>
      </w:pPr>
      <w:r>
        <w:rPr>
          <w:rFonts w:hint="eastAsia" w:ascii="Times New Roman" w:hAnsi="Times New Roman" w:eastAsia="宋体" w:cs="Times New Roman"/>
          <w:sz w:val="21"/>
          <w:szCs w:val="21"/>
          <w:lang w:val="en-US" w:eastAsia="zh-CN" w:bidi="ar-SA"/>
        </w:rPr>
        <w:tab/>
      </w:r>
      <w:r>
        <w:rPr>
          <w:rFonts w:hint="eastAsia" w:ascii="Times New Roman" w:hAnsi="Times New Roman" w:eastAsia="宋体" w:cs="Times New Roman"/>
          <w:sz w:val="21"/>
          <w:szCs w:val="21"/>
          <w:lang w:val="en-US" w:eastAsia="zh-CN" w:bidi="ar-SA"/>
        </w:rPr>
        <w:t>S</w:t>
      </w:r>
      <w:r>
        <w:rPr>
          <w:rFonts w:hint="default" w:ascii="Times New Roman" w:hAnsi="Times New Roman" w:eastAsia="MS Mincho" w:cs="Times New Roman"/>
          <w:sz w:val="21"/>
          <w:szCs w:val="21"/>
          <w:lang w:val="en-GB" w:eastAsia="en-GB" w:bidi="ar-SA"/>
        </w:rPr>
        <w:t>upport configuring height-dependent more-than-one configurations targeting measurement and measurement reporting enhancement. UE applies corresponding configuration based on the UE height. The proposed solutions should aim at avoiding RAN4 impacts. FFS how this would be configured (i.e. different MO configurations or different parameters FFS Exact parameters and details.</w:t>
      </w:r>
    </w:p>
    <w:p>
      <w:pPr>
        <w:keepNext w:val="0"/>
        <w:keepLines w:val="0"/>
        <w:pageBreakBefore w:val="0"/>
        <w:widowControl/>
        <w:numPr>
          <w:ilvl w:val="0"/>
          <w:numId w:val="0"/>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259" w:leftChars="0"/>
        <w:textAlignment w:val="auto"/>
        <w:rPr>
          <w:rFonts w:hint="default" w:ascii="Times New Roman" w:hAnsi="Times New Roman" w:eastAsia="MS Mincho" w:cs="Times New Roman"/>
          <w:sz w:val="21"/>
          <w:szCs w:val="21"/>
          <w:lang w:val="en-GB" w:eastAsia="en-GB"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cs="Times New Roman"/>
          <w:b w:val="0"/>
          <w:bCs w:val="0"/>
          <w:sz w:val="21"/>
          <w:szCs w:val="21"/>
          <w:lang w:val="en-US" w:eastAsia="zh-CN"/>
        </w:rPr>
      </w:pPr>
      <w:r>
        <w:rPr>
          <w:rFonts w:hint="eastAsia" w:cs="Times New Roman"/>
          <w:b w:val="0"/>
          <w:bCs w:val="0"/>
          <w:sz w:val="21"/>
          <w:szCs w:val="21"/>
          <w:lang w:val="en-US" w:eastAsia="zh-CN"/>
        </w:rPr>
        <w:t xml:space="preserve">It was agreed that height-dependent more-than-one configurations targeting measurement and measurement reporting enhancement. After RAN2#121 meeting, a post email discussion [313] related to this topic discussed several aspects of this issue [2]. In this contribution, we provide some consideration on the remaining issues related to height-dependent configurations.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widowControl w:val="0"/>
        <w:numPr>
          <w:ilvl w:val="0"/>
          <w:numId w:val="0"/>
        </w:numPr>
        <w:ind w:leftChars="0"/>
        <w:jc w:val="both"/>
        <w:rPr>
          <w:rFonts w:hint="default" w:ascii="Times New Roman" w:hAnsi="Times New Roman" w:cs="Times New Roman"/>
          <w:b w:val="0"/>
          <w:bCs w:val="0"/>
          <w:sz w:val="21"/>
          <w:szCs w:val="21"/>
          <w:lang w:val="en-US" w:eastAsia="zh-CN"/>
        </w:rPr>
      </w:pPr>
      <w:r>
        <w:rPr>
          <w:rFonts w:hint="eastAsia" w:cs="Times New Roman"/>
          <w:b w:val="0"/>
          <w:bCs w:val="0"/>
          <w:sz w:val="21"/>
          <w:szCs w:val="21"/>
          <w:lang w:val="en-US" w:eastAsia="zh-CN"/>
        </w:rPr>
        <w:t>Regarding the height-dependent configuration, following agreement is achieved:</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22" w:hanging="363"/>
        <w:textAlignment w:val="auto"/>
        <w:rPr>
          <w:rFonts w:hint="default" w:ascii="Times New Roman" w:hAnsi="Times New Roman" w:eastAsia="MS Mincho" w:cs="Times New Roman"/>
          <w:sz w:val="21"/>
          <w:szCs w:val="21"/>
          <w:lang w:val="en-GB" w:eastAsia="en-GB" w:bidi="ar-SA"/>
        </w:rPr>
      </w:pPr>
      <w:r>
        <w:rPr>
          <w:rFonts w:hint="eastAsia" w:ascii="Times New Roman" w:hAnsi="Times New Roman" w:eastAsia="宋体" w:cs="Times New Roman"/>
          <w:sz w:val="21"/>
          <w:szCs w:val="21"/>
          <w:lang w:val="en-US" w:eastAsia="zh-CN" w:bidi="ar-SA"/>
        </w:rPr>
        <w:tab/>
      </w:r>
      <w:r>
        <w:rPr>
          <w:rFonts w:hint="eastAsia" w:ascii="Times New Roman" w:hAnsi="Times New Roman" w:eastAsia="宋体" w:cs="Times New Roman"/>
          <w:sz w:val="21"/>
          <w:szCs w:val="21"/>
          <w:lang w:val="en-US" w:eastAsia="zh-CN" w:bidi="ar-SA"/>
        </w:rPr>
        <w:t>S</w:t>
      </w:r>
      <w:r>
        <w:rPr>
          <w:rFonts w:hint="default" w:ascii="Times New Roman" w:hAnsi="Times New Roman" w:eastAsia="MS Mincho" w:cs="Times New Roman"/>
          <w:sz w:val="21"/>
          <w:szCs w:val="21"/>
          <w:lang w:val="en-GB" w:eastAsia="en-GB" w:bidi="ar-SA"/>
        </w:rPr>
        <w:t>upport configuring height-dependent more-than-one configurations targeting measurement and measurement reporting enhancement. UE applies corresponding configuration based on the UE height. The proposed solutions should aim at avoiding RAN4 impacts. FFS how this would be configured (i.e. different MO configurations or different parameters FFS Exact parameters and details.</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default" w:ascii="Times New Roman" w:hAnsi="Times New Roman" w:cs="Times New Roman"/>
          <w:b w:val="0"/>
          <w:bCs w:val="0"/>
          <w:sz w:val="21"/>
          <w:szCs w:val="21"/>
          <w:lang w:val="en-US" w:eastAsia="zh-CN"/>
        </w:rPr>
      </w:pPr>
      <w:r>
        <w:rPr>
          <w:rFonts w:hint="eastAsia" w:cs="Times New Roman"/>
          <w:b w:val="0"/>
          <w:bCs w:val="0"/>
          <w:sz w:val="21"/>
          <w:szCs w:val="21"/>
          <w:lang w:val="en-US" w:eastAsia="zh-CN"/>
        </w:rPr>
        <w:t>There are some remaining issue on this issue.</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default" w:ascii="Times New Roman" w:hAnsi="Times New Roman" w:cs="Times New Roman"/>
          <w:b w:val="0"/>
          <w:bCs w:val="0"/>
          <w:sz w:val="21"/>
          <w:szCs w:val="21"/>
          <w:u w:val="single"/>
          <w:lang w:val="en-US" w:eastAsia="zh-CN"/>
        </w:rPr>
      </w:pPr>
      <w:r>
        <w:rPr>
          <w:rFonts w:hint="eastAsia" w:cs="Times New Roman"/>
          <w:b w:val="0"/>
          <w:bCs w:val="0"/>
          <w:sz w:val="21"/>
          <w:szCs w:val="21"/>
          <w:u w:val="single"/>
          <w:lang w:val="en-US" w:eastAsia="zh-CN"/>
        </w:rPr>
        <w:t xml:space="preserve">Issue 1: </w:t>
      </w:r>
      <w:r>
        <w:rPr>
          <w:rFonts w:hint="default" w:ascii="Times New Roman" w:hAnsi="Times New Roman" w:cs="Times New Roman"/>
          <w:b w:val="0"/>
          <w:bCs w:val="0"/>
          <w:sz w:val="21"/>
          <w:szCs w:val="21"/>
          <w:u w:val="single"/>
          <w:lang w:val="en-US" w:eastAsia="zh-CN"/>
        </w:rPr>
        <w:t>Separate MO or parameter value?</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default" w:ascii="Times New Roman" w:hAnsi="Times New Roman" w:cs="Times New Roman"/>
          <w:b w:val="0"/>
          <w:bCs w:val="0"/>
          <w:sz w:val="21"/>
          <w:szCs w:val="21"/>
          <w:lang w:val="en-US" w:eastAsia="zh-CN"/>
        </w:rPr>
      </w:pPr>
      <w:r>
        <w:rPr>
          <w:rFonts w:hint="eastAsia" w:cs="Times New Roman"/>
          <w:b w:val="0"/>
          <w:bCs w:val="0"/>
          <w:sz w:val="21"/>
          <w:szCs w:val="21"/>
          <w:lang w:val="en-US" w:eastAsia="zh-CN"/>
        </w:rPr>
        <w:t>The first issue is about whether to configure separate measurement objects or different parameter values for different height region. In current NR specification, f</w:t>
      </w:r>
      <w:r>
        <w:rPr>
          <w:rFonts w:hint="default" w:ascii="Times New Roman" w:hAnsi="Times New Roman" w:cs="Times New Roman"/>
          <w:b w:val="0"/>
          <w:bCs w:val="0"/>
          <w:sz w:val="21"/>
          <w:szCs w:val="21"/>
          <w:lang w:val="en-GB" w:eastAsia="en-US"/>
        </w:rPr>
        <w:t xml:space="preserve">or SSB based measurements network can configure at most one measurement object </w:t>
      </w:r>
      <w:r>
        <w:rPr>
          <w:rFonts w:hint="default" w:ascii="Times New Roman" w:hAnsi="Times New Roman" w:cs="Times New Roman"/>
          <w:b w:val="0"/>
          <w:bCs w:val="0"/>
          <w:sz w:val="21"/>
          <w:szCs w:val="21"/>
          <w:lang w:val="en-US" w:eastAsia="zh-CN"/>
        </w:rPr>
        <w:t>per SSB</w:t>
      </w:r>
      <w:r>
        <w:rPr>
          <w:rFonts w:hint="default" w:ascii="Times New Roman" w:hAnsi="Times New Roman" w:cs="Times New Roman"/>
          <w:b w:val="0"/>
          <w:bCs w:val="0"/>
          <w:sz w:val="21"/>
          <w:szCs w:val="21"/>
          <w:lang w:val="en-GB" w:eastAsia="en-US"/>
        </w:rPr>
        <w:t xml:space="preserve"> </w:t>
      </w:r>
      <w:r>
        <w:rPr>
          <w:rFonts w:hint="default" w:ascii="Times New Roman" w:hAnsi="Times New Roman" w:cs="Times New Roman"/>
          <w:b w:val="0"/>
          <w:bCs w:val="0"/>
          <w:sz w:val="21"/>
          <w:szCs w:val="21"/>
          <w:lang w:val="en-US" w:eastAsia="zh-CN"/>
        </w:rPr>
        <w:t>f</w:t>
      </w:r>
      <w:r>
        <w:rPr>
          <w:rFonts w:hint="default" w:ascii="Times New Roman" w:hAnsi="Times New Roman" w:cs="Times New Roman"/>
          <w:b w:val="0"/>
          <w:bCs w:val="0"/>
          <w:sz w:val="21"/>
          <w:szCs w:val="21"/>
          <w:lang w:val="en-GB" w:eastAsia="en-US"/>
        </w:rPr>
        <w:t xml:space="preserve">requency. </w:t>
      </w:r>
      <w:r>
        <w:rPr>
          <w:rFonts w:hint="eastAsia" w:cs="Times New Roman"/>
          <w:b w:val="0"/>
          <w:bCs w:val="0"/>
          <w:sz w:val="21"/>
          <w:szCs w:val="21"/>
          <w:lang w:val="en-US" w:eastAsia="zh-CN"/>
        </w:rPr>
        <w:t>To have different MO for different height needs to remove this</w:t>
      </w:r>
      <w:r>
        <w:rPr>
          <w:rFonts w:hint="default" w:ascii="Times New Roman" w:hAnsi="Times New Roman" w:cs="Times New Roman"/>
          <w:b w:val="0"/>
          <w:bCs w:val="0"/>
          <w:sz w:val="21"/>
          <w:szCs w:val="21"/>
          <w:lang w:val="en-US" w:eastAsia="zh-CN"/>
        </w:rPr>
        <w:t xml:space="preserve"> limitations</w:t>
      </w:r>
      <w:r>
        <w:rPr>
          <w:rFonts w:hint="eastAsia"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In addition, we don’t think it is necessary to have </w:t>
      </w:r>
      <w:r>
        <w:rPr>
          <w:rFonts w:hint="eastAsia" w:cs="Times New Roman"/>
          <w:b w:val="0"/>
          <w:bCs w:val="0"/>
          <w:sz w:val="21"/>
          <w:szCs w:val="21"/>
          <w:lang w:val="en-US" w:eastAsia="zh-CN"/>
        </w:rPr>
        <w:t>the</w:t>
      </w:r>
      <w:r>
        <w:rPr>
          <w:rFonts w:hint="default" w:ascii="Times New Roman" w:hAnsi="Times New Roman" w:cs="Times New Roman"/>
          <w:b w:val="0"/>
          <w:bCs w:val="0"/>
          <w:sz w:val="21"/>
          <w:szCs w:val="21"/>
          <w:lang w:val="en-US" w:eastAsia="zh-CN"/>
        </w:rPr>
        <w:t xml:space="preserve"> flexibility to </w:t>
      </w:r>
      <w:r>
        <w:rPr>
          <w:rFonts w:hint="eastAsia" w:cs="Times New Roman"/>
          <w:b w:val="0"/>
          <w:bCs w:val="0"/>
          <w:sz w:val="21"/>
          <w:szCs w:val="21"/>
          <w:lang w:val="en-US" w:eastAsia="zh-CN"/>
        </w:rPr>
        <w:t>configure different values for every parameter in MO. If only a small portion of parameters are height-dependent, a separate MO will bring unnecessary signaling overhead.</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default" w:ascii="Times New Roman" w:hAnsi="Times New Roman" w:cs="Times New Roman"/>
          <w:b w:val="0"/>
          <w:bCs w:val="0"/>
          <w:sz w:val="21"/>
          <w:szCs w:val="21"/>
          <w:lang w:val="en-GB" w:eastAsia="en-US"/>
        </w:rPr>
      </w:pPr>
      <w:r>
        <w:rPr>
          <w:rFonts w:hint="eastAsia" w:cs="Times New Roman"/>
          <w:b w:val="0"/>
          <w:bCs w:val="0"/>
          <w:sz w:val="21"/>
          <w:szCs w:val="21"/>
          <w:lang w:val="en-US" w:eastAsia="zh-CN"/>
        </w:rPr>
        <w:t>More importantly, t</w:t>
      </w:r>
      <w:r>
        <w:rPr>
          <w:rFonts w:hint="default" w:ascii="Times New Roman" w:hAnsi="Times New Roman" w:cs="Times New Roman"/>
          <w:b w:val="0"/>
          <w:bCs w:val="0"/>
          <w:sz w:val="21"/>
          <w:szCs w:val="21"/>
          <w:lang w:val="en-US" w:eastAsia="zh-CN"/>
        </w:rPr>
        <w:t xml:space="preserve">o have different values </w:t>
      </w:r>
      <w:r>
        <w:rPr>
          <w:rFonts w:hint="eastAsia" w:cs="Times New Roman"/>
          <w:b w:val="0"/>
          <w:bCs w:val="0"/>
          <w:sz w:val="21"/>
          <w:szCs w:val="21"/>
          <w:lang w:val="en-US" w:eastAsia="zh-CN"/>
        </w:rPr>
        <w:t xml:space="preserve">for some parameter </w:t>
      </w:r>
      <w:r>
        <w:rPr>
          <w:rFonts w:hint="default" w:ascii="Times New Roman" w:hAnsi="Times New Roman" w:cs="Times New Roman"/>
          <w:b w:val="0"/>
          <w:bCs w:val="0"/>
          <w:sz w:val="21"/>
          <w:szCs w:val="21"/>
          <w:lang w:val="en-US" w:eastAsia="zh-CN"/>
        </w:rPr>
        <w:t xml:space="preserve">is much easier to analysis </w:t>
      </w:r>
      <w:r>
        <w:rPr>
          <w:rFonts w:hint="eastAsia" w:cs="Times New Roman"/>
          <w:b w:val="0"/>
          <w:bCs w:val="0"/>
          <w:sz w:val="21"/>
          <w:szCs w:val="21"/>
          <w:lang w:val="en-US" w:eastAsia="zh-CN"/>
        </w:rPr>
        <w:t>the impact on specification and it is beneficial to</w:t>
      </w:r>
      <w:r>
        <w:rPr>
          <w:rFonts w:hint="default" w:ascii="Times New Roman" w:hAnsi="Times New Roman" w:cs="Times New Roman"/>
          <w:b w:val="0"/>
          <w:bCs w:val="0"/>
          <w:sz w:val="21"/>
          <w:szCs w:val="21"/>
          <w:lang w:val="en-US" w:eastAsia="zh-CN"/>
        </w:rPr>
        <w:t xml:space="preserve"> limit </w:t>
      </w:r>
      <w:r>
        <w:rPr>
          <w:rFonts w:hint="eastAsia" w:cs="Times New Roman"/>
          <w:b w:val="0"/>
          <w:bCs w:val="0"/>
          <w:sz w:val="21"/>
          <w:szCs w:val="21"/>
          <w:lang w:val="en-US" w:eastAsia="zh-CN"/>
        </w:rPr>
        <w:t xml:space="preserve">the potential impact </w:t>
      </w:r>
      <w:r>
        <w:rPr>
          <w:rFonts w:hint="default" w:ascii="Times New Roman" w:hAnsi="Times New Roman" w:cs="Times New Roman"/>
          <w:b w:val="0"/>
          <w:bCs w:val="0"/>
          <w:sz w:val="21"/>
          <w:szCs w:val="21"/>
          <w:lang w:val="en-US" w:eastAsia="zh-CN"/>
        </w:rPr>
        <w:t>within expected scope.</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default" w:ascii="Times New Roman" w:hAnsi="Times New Roman" w:cs="Times New Roman"/>
          <w:b/>
          <w:bCs/>
          <w:i w:val="0"/>
          <w:iCs w:val="0"/>
          <w:sz w:val="21"/>
          <w:szCs w:val="21"/>
          <w:lang w:val="en-US" w:eastAsia="zh-CN"/>
        </w:rPr>
      </w:pPr>
      <w:r>
        <w:rPr>
          <w:rFonts w:hint="default" w:ascii="Times New Roman" w:hAnsi="Times New Roman" w:cs="Times New Roman"/>
          <w:b/>
          <w:bCs/>
          <w:i w:val="0"/>
          <w:iCs w:val="0"/>
          <w:sz w:val="21"/>
          <w:szCs w:val="21"/>
          <w:lang w:val="en-US" w:eastAsia="zh-CN"/>
        </w:rPr>
        <w:t>Proposal</w:t>
      </w:r>
      <w:r>
        <w:rPr>
          <w:rFonts w:hint="eastAsia" w:ascii="Times New Roman" w:hAnsi="Times New Roman" w:cs="Times New Roman"/>
          <w:b/>
          <w:bCs/>
          <w:i w:val="0"/>
          <w:iCs w:val="0"/>
          <w:sz w:val="21"/>
          <w:szCs w:val="21"/>
          <w:lang w:val="en-US" w:eastAsia="zh-CN"/>
        </w:rPr>
        <w:t xml:space="preserve"> </w:t>
      </w:r>
      <w:r>
        <w:rPr>
          <w:rFonts w:hint="eastAsia" w:cs="Times New Roman"/>
          <w:b/>
          <w:bCs/>
          <w:i w:val="0"/>
          <w:iCs w:val="0"/>
          <w:sz w:val="21"/>
          <w:szCs w:val="21"/>
          <w:lang w:val="en-US" w:eastAsia="zh-CN"/>
        </w:rPr>
        <w:t>1</w:t>
      </w:r>
      <w:r>
        <w:rPr>
          <w:rFonts w:hint="default" w:ascii="Times New Roman" w:hAnsi="Times New Roman" w:cs="Times New Roman"/>
          <w:b/>
          <w:bCs/>
          <w:i w:val="0"/>
          <w:iCs w:val="0"/>
          <w:sz w:val="21"/>
          <w:szCs w:val="21"/>
          <w:lang w:val="en-US" w:eastAsia="zh-CN"/>
        </w:rPr>
        <w:t>:</w:t>
      </w:r>
      <w:r>
        <w:rPr>
          <w:rFonts w:hint="eastAsia" w:ascii="Times New Roman" w:hAnsi="Times New Roman" w:cs="Times New Roman"/>
          <w:b/>
          <w:bCs/>
          <w:i w:val="0"/>
          <w:iCs w:val="0"/>
          <w:sz w:val="21"/>
          <w:szCs w:val="21"/>
          <w:lang w:val="en-US" w:eastAsia="zh-CN"/>
        </w:rPr>
        <w:t xml:space="preserve"> To introduce height-dependent values</w:t>
      </w:r>
      <w:r>
        <w:rPr>
          <w:rFonts w:hint="eastAsia" w:cs="Times New Roman"/>
          <w:b/>
          <w:bCs/>
          <w:i w:val="0"/>
          <w:iCs w:val="0"/>
          <w:sz w:val="21"/>
          <w:szCs w:val="21"/>
          <w:lang w:val="en-US" w:eastAsia="zh-CN"/>
        </w:rPr>
        <w:t>/fields but not</w:t>
      </w:r>
      <w:r>
        <w:rPr>
          <w:rFonts w:hint="eastAsia" w:ascii="Times New Roman" w:hAnsi="Times New Roman" w:cs="Times New Roman"/>
          <w:b/>
          <w:bCs/>
          <w:i w:val="0"/>
          <w:iCs w:val="0"/>
          <w:sz w:val="21"/>
          <w:szCs w:val="21"/>
          <w:lang w:val="en-US" w:eastAsia="zh-CN"/>
        </w:rPr>
        <w:t xml:space="preserve"> height-dependent MO.</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default" w:cs="Times New Roman"/>
          <w:b w:val="0"/>
          <w:bCs w:val="0"/>
          <w:sz w:val="21"/>
          <w:szCs w:val="21"/>
          <w:u w:val="single"/>
          <w:lang w:val="en-US" w:eastAsia="zh-CN"/>
        </w:rPr>
      </w:pPr>
      <w:r>
        <w:rPr>
          <w:rFonts w:hint="eastAsia" w:cs="Times New Roman"/>
          <w:b w:val="0"/>
          <w:bCs w:val="0"/>
          <w:sz w:val="21"/>
          <w:szCs w:val="21"/>
          <w:u w:val="single"/>
          <w:lang w:val="en-US" w:eastAsia="zh-CN"/>
        </w:rPr>
        <w:t>Issue 2: which parameter is height-dependent: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eastAsia" w:cs="Times New Roman"/>
          <w:b w:val="0"/>
          <w:bCs w:val="0"/>
          <w:sz w:val="21"/>
          <w:szCs w:val="21"/>
          <w:lang w:val="en-US" w:eastAsia="zh-CN"/>
        </w:rPr>
      </w:pPr>
      <w:r>
        <w:rPr>
          <w:rFonts w:hint="eastAsia" w:cs="Times New Roman"/>
          <w:b w:val="0"/>
          <w:bCs w:val="0"/>
          <w:sz w:val="21"/>
          <w:szCs w:val="21"/>
          <w:lang w:val="en-US" w:eastAsia="zh-CN"/>
        </w:rPr>
        <w:t xml:space="preserve">We think it is beneficial to introduce heigh-dependent SSB-ToMeasure to enable measurement on different SSBs in different height regions.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It is possible for network to exclude side lobes of downtilted beams when UAV UE is flying above a threshold, especially the side lobes of downtilted beams from far away cells. The side lobes from far away cells are assumed as a negative factor on UAV Ue</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mobility performance.</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In addition, it is also beneficial for UE power saving by excluding the downtilted beam when UAV UE is flying above a height threshold. When UAV UE fly above a height threshold, it is assumed more cells will be detected. In such radio environment, to exclude the downtilted beam can reduce the measurement on beams as well as the size of measurement report. Similarly, when UAV UE flying below low height region, the UA</w:t>
      </w:r>
      <w:r>
        <w:rPr>
          <w:rFonts w:hint="eastAsia" w:cs="Times New Roman"/>
          <w:b w:val="0"/>
          <w:bCs w:val="0"/>
          <w:sz w:val="21"/>
          <w:szCs w:val="21"/>
          <w:lang w:val="en-US" w:eastAsia="zh-CN"/>
        </w:rPr>
        <w:t>V</w:t>
      </w:r>
      <w:r>
        <w:rPr>
          <w:rFonts w:hint="eastAsia" w:ascii="Times New Roman" w:hAnsi="Times New Roman" w:cs="Times New Roman"/>
          <w:b w:val="0"/>
          <w:bCs w:val="0"/>
          <w:sz w:val="21"/>
          <w:szCs w:val="21"/>
          <w:lang w:val="en-US" w:eastAsia="zh-CN"/>
        </w:rPr>
        <w:t xml:space="preserve"> UE can perform measurement only on those downtilted beam.</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488" w:leftChars="0" w:hanging="1488" w:hangingChars="706"/>
        <w:jc w:val="left"/>
        <w:textAlignment w:val="auto"/>
        <w:rPr>
          <w:rFonts w:hint="default" w:ascii="Times New Roman" w:hAnsi="Times New Roman" w:cs="Times New Roman"/>
          <w:b/>
          <w:bCs/>
          <w:i w:val="0"/>
          <w:iCs w:val="0"/>
          <w:sz w:val="21"/>
          <w:szCs w:val="21"/>
          <w:lang w:val="en-US" w:eastAsia="zh-CN"/>
        </w:rPr>
      </w:pPr>
      <w:r>
        <w:rPr>
          <w:rFonts w:hint="default" w:ascii="Times New Roman" w:hAnsi="Times New Roman" w:cs="Times New Roman"/>
          <w:b/>
          <w:bCs/>
          <w:i w:val="0"/>
          <w:iCs w:val="0"/>
          <w:sz w:val="21"/>
          <w:szCs w:val="21"/>
          <w:lang w:val="en-US" w:eastAsia="zh-CN"/>
        </w:rPr>
        <w:t xml:space="preserve">Observation </w:t>
      </w:r>
      <w:r>
        <w:rPr>
          <w:rFonts w:hint="eastAsia" w:cs="Times New Roman"/>
          <w:b/>
          <w:bCs/>
          <w:i w:val="0"/>
          <w:iCs w:val="0"/>
          <w:sz w:val="21"/>
          <w:szCs w:val="21"/>
          <w:lang w:val="en-US" w:eastAsia="zh-CN"/>
        </w:rPr>
        <w:t>1</w:t>
      </w:r>
      <w:r>
        <w:rPr>
          <w:rFonts w:hint="default" w:ascii="Times New Roman" w:hAnsi="Times New Roman" w:cs="Times New Roman"/>
          <w:b/>
          <w:bCs/>
          <w:i w:val="0"/>
          <w:iCs w:val="0"/>
          <w:sz w:val="21"/>
          <w:szCs w:val="21"/>
          <w:lang w:val="en-US" w:eastAsia="zh-CN"/>
        </w:rPr>
        <w:t xml:space="preserve">: Height-dependent RS/beam configuration is beneficial for </w:t>
      </w:r>
      <w:r>
        <w:rPr>
          <w:rFonts w:hint="eastAsia" w:cs="Times New Roman"/>
          <w:b/>
          <w:bCs/>
          <w:i w:val="0"/>
          <w:iCs w:val="0"/>
          <w:sz w:val="21"/>
          <w:szCs w:val="21"/>
          <w:lang w:val="en-US" w:eastAsia="zh-CN"/>
        </w:rPr>
        <w:t>reduce the measurement and measurement report size</w:t>
      </w:r>
      <w:r>
        <w:rPr>
          <w:rFonts w:hint="default" w:ascii="Times New Roman" w:hAnsi="Times New Roman" w:cs="Times New Roman"/>
          <w:b/>
          <w:bCs/>
          <w:i w:val="0"/>
          <w:iCs w:val="0"/>
          <w:sz w:val="21"/>
          <w:szCs w:val="21"/>
          <w:lang w:val="en-US" w:eastAsia="zh-CN"/>
        </w:rPr>
        <w:t xml:space="preserve"> </w:t>
      </w:r>
      <w:r>
        <w:rPr>
          <w:rFonts w:hint="eastAsia" w:cs="Times New Roman"/>
          <w:b/>
          <w:bCs/>
          <w:i w:val="0"/>
          <w:iCs w:val="0"/>
          <w:sz w:val="21"/>
          <w:szCs w:val="21"/>
          <w:lang w:val="en-US" w:eastAsia="zh-CN"/>
        </w:rPr>
        <w:t xml:space="preserve">by excluding unneeded beam when UAV is </w:t>
      </w:r>
      <w:r>
        <w:rPr>
          <w:rFonts w:hint="default" w:ascii="Times New Roman" w:hAnsi="Times New Roman" w:cs="Times New Roman"/>
          <w:b/>
          <w:bCs/>
          <w:i w:val="0"/>
          <w:iCs w:val="0"/>
          <w:sz w:val="21"/>
          <w:szCs w:val="21"/>
          <w:lang w:val="en-US" w:eastAsia="zh-CN"/>
        </w:rPr>
        <w:t xml:space="preserve">in certain height </w:t>
      </w:r>
      <w:r>
        <w:rPr>
          <w:rFonts w:hint="eastAsia" w:cs="Times New Roman"/>
          <w:b/>
          <w:bCs/>
          <w:i w:val="0"/>
          <w:iCs w:val="0"/>
          <w:sz w:val="21"/>
          <w:szCs w:val="21"/>
          <w:lang w:val="en-US" w:eastAsia="zh-CN"/>
        </w:rPr>
        <w:t>region. It is also beneficial</w:t>
      </w:r>
      <w:r>
        <w:rPr>
          <w:rFonts w:hint="default" w:ascii="Times New Roman" w:hAnsi="Times New Roman" w:cs="Times New Roman"/>
          <w:b/>
          <w:bCs/>
          <w:i w:val="0"/>
          <w:iCs w:val="0"/>
          <w:sz w:val="21"/>
          <w:szCs w:val="21"/>
          <w:lang w:val="en-US" w:eastAsia="zh-CN"/>
        </w:rPr>
        <w:t xml:space="preserve"> for mobility performance by avoid the impact of side lobe from far away cells.</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The network can determine which beam are </w:t>
      </w:r>
      <w:r>
        <w:rPr>
          <w:rFonts w:hint="eastAsia" w:cs="Times New Roman"/>
          <w:b w:val="0"/>
          <w:bCs w:val="0"/>
          <w:sz w:val="21"/>
          <w:szCs w:val="21"/>
          <w:lang w:val="en-US" w:eastAsia="zh-CN"/>
        </w:rPr>
        <w:t>up-tilted</w:t>
      </w:r>
      <w:r>
        <w:rPr>
          <w:rFonts w:hint="eastAsia" w:ascii="Times New Roman" w:hAnsi="Times New Roman" w:cs="Times New Roman"/>
          <w:b w:val="0"/>
          <w:bCs w:val="0"/>
          <w:sz w:val="21"/>
          <w:szCs w:val="21"/>
          <w:lang w:val="en-US" w:eastAsia="zh-CN"/>
        </w:rPr>
        <w:t xml:space="preserve"> or downtilted according to the network planning.</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eastAsia" w:cs="Times New Roman"/>
          <w:b w:val="0"/>
          <w:bCs w:val="0"/>
          <w:sz w:val="21"/>
          <w:szCs w:val="21"/>
          <w:lang w:val="en-US" w:eastAsia="zh-CN"/>
        </w:rPr>
      </w:pPr>
      <w:r>
        <w:rPr>
          <w:rFonts w:hint="eastAsia" w:cs="Times New Roman"/>
          <w:b w:val="0"/>
          <w:bCs w:val="0"/>
          <w:sz w:val="21"/>
          <w:szCs w:val="21"/>
          <w:lang w:val="en-US" w:eastAsia="zh-CN"/>
        </w:rPr>
        <w:t xml:space="preserve">As to the UE behavior upon the change of SSB to perform measurement due to change of height region, we think the UE should behave similar to a measurement reconfiguration. The only differences is that it is triggered by UE according to the height region but not triggered by RRC signaling.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default" w:cs="Times New Roman"/>
          <w:b w:val="0"/>
          <w:bCs w:val="0"/>
          <w:sz w:val="21"/>
          <w:szCs w:val="21"/>
          <w:lang w:val="en-US" w:eastAsia="zh-CN"/>
        </w:rPr>
      </w:pPr>
      <w:r>
        <w:rPr>
          <w:rFonts w:hint="eastAsia" w:cs="Times New Roman"/>
          <w:b w:val="0"/>
          <w:bCs w:val="0"/>
          <w:sz w:val="21"/>
          <w:szCs w:val="21"/>
          <w:lang w:val="en-US" w:eastAsia="zh-CN"/>
        </w:rPr>
        <w:t>And since the height-dependent SSB-ToMeasure is configured by network, the network expects the UE to behave according to the configuration. So we don</w:t>
      </w:r>
      <w:r>
        <w:rPr>
          <w:rFonts w:hint="default" w:cs="Times New Roman"/>
          <w:b w:val="0"/>
          <w:bCs w:val="0"/>
          <w:sz w:val="21"/>
          <w:szCs w:val="21"/>
          <w:lang w:val="en-US" w:eastAsia="zh-CN"/>
        </w:rPr>
        <w:t>’</w:t>
      </w:r>
      <w:r>
        <w:rPr>
          <w:rFonts w:hint="eastAsia" w:cs="Times New Roman"/>
          <w:b w:val="0"/>
          <w:bCs w:val="0"/>
          <w:sz w:val="21"/>
          <w:szCs w:val="21"/>
          <w:lang w:val="en-US" w:eastAsia="zh-CN"/>
        </w:rPr>
        <w:t>t think there is misalignment issue for height-dependent SSB-ToMeasure configuration.</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default" w:ascii="Times New Roman" w:hAnsi="Times New Roman" w:cs="Times New Roman"/>
          <w:b/>
          <w:bCs/>
          <w:i w:val="0"/>
          <w:iCs w:val="0"/>
          <w:sz w:val="21"/>
          <w:szCs w:val="21"/>
          <w:lang w:val="en-US" w:eastAsia="zh-CN"/>
        </w:rPr>
      </w:pPr>
      <w:r>
        <w:rPr>
          <w:rFonts w:hint="default"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2</w:t>
      </w:r>
      <w:r>
        <w:rPr>
          <w:rFonts w:hint="default" w:ascii="Times New Roman" w:hAnsi="Times New Roman" w:cs="Times New Roman"/>
          <w:b/>
          <w:bCs/>
          <w:i w:val="0"/>
          <w:iCs w:val="0"/>
          <w:sz w:val="21"/>
          <w:szCs w:val="21"/>
          <w:lang w:val="en-US" w:eastAsia="zh-CN"/>
        </w:rPr>
        <w:t>: RAN2 to introduce height-dependent RS/beam configuration for NR UAV, e.g. multiple set</w:t>
      </w:r>
      <w:r>
        <w:rPr>
          <w:rFonts w:hint="eastAsia" w:cs="Times New Roman"/>
          <w:b/>
          <w:bCs/>
          <w:i w:val="0"/>
          <w:iCs w:val="0"/>
          <w:sz w:val="21"/>
          <w:szCs w:val="21"/>
          <w:lang w:val="en-US" w:eastAsia="zh-CN"/>
        </w:rPr>
        <w:t>s</w:t>
      </w:r>
      <w:r>
        <w:rPr>
          <w:rFonts w:hint="default" w:ascii="Times New Roman" w:hAnsi="Times New Roman" w:cs="Times New Roman"/>
          <w:b/>
          <w:bCs/>
          <w:i w:val="0"/>
          <w:iCs w:val="0"/>
          <w:sz w:val="21"/>
          <w:szCs w:val="21"/>
          <w:lang w:val="en-US" w:eastAsia="zh-CN"/>
        </w:rPr>
        <w:t xml:space="preserve"> of SSB-ToMeasure associated with different height</w:t>
      </w:r>
      <w:r>
        <w:rPr>
          <w:rFonts w:hint="eastAsia" w:cs="Times New Roman"/>
          <w:b/>
          <w:bCs/>
          <w:i w:val="0"/>
          <w:iCs w:val="0"/>
          <w:sz w:val="21"/>
          <w:szCs w:val="21"/>
          <w:lang w:val="en-US" w:eastAsia="zh-CN"/>
        </w:rPr>
        <w:t xml:space="preserve"> region</w:t>
      </w:r>
      <w:r>
        <w:rPr>
          <w:rFonts w:hint="default" w:ascii="Times New Roman" w:hAnsi="Times New Roman" w:cs="Times New Roman"/>
          <w:b/>
          <w:bCs/>
          <w:i w:val="0"/>
          <w:i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default" w:ascii="Times New Roman" w:hAnsi="Times New Roman" w:cs="Times New Roman"/>
          <w:b w:val="0"/>
          <w:bCs w:val="0"/>
          <w:i w:val="0"/>
          <w:iCs w:val="0"/>
          <w:sz w:val="21"/>
          <w:szCs w:val="21"/>
          <w:lang w:val="en-US" w:eastAsia="zh-CN"/>
        </w:rPr>
      </w:pPr>
      <w:r>
        <w:rPr>
          <w:rFonts w:hint="default" w:ascii="Times New Roman" w:hAnsi="Times New Roman" w:cs="Times New Roman"/>
          <w:b w:val="0"/>
          <w:bCs w:val="0"/>
          <w:i w:val="0"/>
          <w:iCs w:val="0"/>
          <w:sz w:val="21"/>
          <w:szCs w:val="21"/>
          <w:lang w:val="en-US" w:eastAsia="zh-CN"/>
        </w:rPr>
        <w:t>Apart for SSB-ToMeasure, there are proposals to introduce measurement report related parameters, such as TTT. However, in last RAN2 meeting, it is also agreed to introduce event combination mechanism which combine H1/H2 event and Ax measurement events. Per our understanding, this event combination mechanism results in similar effect as configuring height-dependent values for measurement report related parameters. We wonder whether we need mechanism with similar effects.</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488" w:leftChars="0" w:hanging="1488" w:hangingChars="706"/>
        <w:jc w:val="left"/>
        <w:textAlignment w:val="auto"/>
        <w:rPr>
          <w:rFonts w:hint="default" w:ascii="Times New Roman" w:hAnsi="Times New Roman" w:cs="Times New Roman"/>
          <w:b/>
          <w:bCs/>
          <w:i w:val="0"/>
          <w:iCs w:val="0"/>
          <w:sz w:val="21"/>
          <w:szCs w:val="21"/>
          <w:lang w:val="en-US" w:eastAsia="zh-CN"/>
        </w:rPr>
      </w:pPr>
      <w:r>
        <w:rPr>
          <w:rFonts w:hint="default" w:ascii="Times New Roman" w:hAnsi="Times New Roman" w:cs="Times New Roman"/>
          <w:b/>
          <w:bCs/>
          <w:i w:val="0"/>
          <w:iCs w:val="0"/>
          <w:sz w:val="21"/>
          <w:szCs w:val="21"/>
          <w:lang w:val="en-US" w:eastAsia="zh-CN"/>
        </w:rPr>
        <w:t xml:space="preserve">Observation </w:t>
      </w:r>
      <w:r>
        <w:rPr>
          <w:rFonts w:hint="eastAsia" w:ascii="Times New Roman" w:hAnsi="Times New Roman" w:cs="Times New Roman"/>
          <w:b/>
          <w:bCs/>
          <w:i w:val="0"/>
          <w:iCs w:val="0"/>
          <w:sz w:val="21"/>
          <w:szCs w:val="21"/>
          <w:lang w:val="en-US" w:eastAsia="zh-CN"/>
        </w:rPr>
        <w:t>2</w:t>
      </w:r>
      <w:r>
        <w:rPr>
          <w:rFonts w:hint="default" w:ascii="Times New Roman" w:hAnsi="Times New Roman" w:cs="Times New Roman"/>
          <w:b/>
          <w:bCs/>
          <w:i w:val="0"/>
          <w:iCs w:val="0"/>
          <w:sz w:val="21"/>
          <w:szCs w:val="21"/>
          <w:lang w:val="en-US" w:eastAsia="zh-CN"/>
        </w:rPr>
        <w:t>: Height depend report configuration can be implemented by event combination which combine event H1/H2 and Ax events as already agreed in last RAN2 meeting.</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488" w:leftChars="0" w:hanging="1488" w:hangingChars="706"/>
        <w:jc w:val="left"/>
        <w:textAlignment w:val="auto"/>
        <w:rPr>
          <w:rFonts w:hint="default" w:ascii="Times New Roman" w:hAnsi="Times New Roman" w:cs="Times New Roman"/>
          <w:b/>
          <w:bCs/>
          <w:i w:val="0"/>
          <w:iCs w:val="0"/>
          <w:sz w:val="21"/>
          <w:szCs w:val="21"/>
          <w:lang w:val="en-US" w:eastAsia="zh-CN"/>
        </w:rPr>
      </w:pPr>
      <w:r>
        <w:rPr>
          <w:rFonts w:hint="default" w:ascii="Times New Roman" w:hAnsi="Times New Roman" w:cs="Times New Roman"/>
          <w:b/>
          <w:bCs/>
          <w:i w:val="0"/>
          <w:iCs w:val="0"/>
          <w:sz w:val="21"/>
          <w:szCs w:val="21"/>
          <w:lang w:val="en-US" w:eastAsia="zh-CN"/>
        </w:rPr>
        <w:t xml:space="preserve">Observation </w:t>
      </w:r>
      <w:r>
        <w:rPr>
          <w:rFonts w:hint="eastAsia" w:cs="Times New Roman"/>
          <w:b/>
          <w:bCs/>
          <w:i w:val="0"/>
          <w:iCs w:val="0"/>
          <w:sz w:val="21"/>
          <w:szCs w:val="21"/>
          <w:lang w:val="en-US" w:eastAsia="zh-CN"/>
        </w:rPr>
        <w:t>1</w:t>
      </w:r>
      <w:r>
        <w:rPr>
          <w:rFonts w:hint="default" w:ascii="Times New Roman" w:hAnsi="Times New Roman" w:cs="Times New Roman"/>
          <w:b/>
          <w:bCs/>
          <w:i w:val="0"/>
          <w:iCs w:val="0"/>
          <w:sz w:val="21"/>
          <w:szCs w:val="21"/>
          <w:lang w:val="en-US" w:eastAsia="zh-CN"/>
        </w:rPr>
        <w:t xml:space="preserve">: Height-dependent RS/beam configuration is beneficial for </w:t>
      </w:r>
      <w:r>
        <w:rPr>
          <w:rFonts w:hint="eastAsia" w:cs="Times New Roman"/>
          <w:b/>
          <w:bCs/>
          <w:i w:val="0"/>
          <w:iCs w:val="0"/>
          <w:sz w:val="21"/>
          <w:szCs w:val="21"/>
          <w:lang w:val="en-US" w:eastAsia="zh-CN"/>
        </w:rPr>
        <w:t>reduce the measurement and measurement report size</w:t>
      </w:r>
      <w:r>
        <w:rPr>
          <w:rFonts w:hint="default" w:ascii="Times New Roman" w:hAnsi="Times New Roman" w:cs="Times New Roman"/>
          <w:b/>
          <w:bCs/>
          <w:i w:val="0"/>
          <w:iCs w:val="0"/>
          <w:sz w:val="21"/>
          <w:szCs w:val="21"/>
          <w:lang w:val="en-US" w:eastAsia="zh-CN"/>
        </w:rPr>
        <w:t xml:space="preserve"> </w:t>
      </w:r>
      <w:r>
        <w:rPr>
          <w:rFonts w:hint="eastAsia" w:cs="Times New Roman"/>
          <w:b/>
          <w:bCs/>
          <w:i w:val="0"/>
          <w:iCs w:val="0"/>
          <w:sz w:val="21"/>
          <w:szCs w:val="21"/>
          <w:lang w:val="en-US" w:eastAsia="zh-CN"/>
        </w:rPr>
        <w:t xml:space="preserve">by excluding unneeded beam when UAV is </w:t>
      </w:r>
      <w:r>
        <w:rPr>
          <w:rFonts w:hint="default" w:ascii="Times New Roman" w:hAnsi="Times New Roman" w:cs="Times New Roman"/>
          <w:b/>
          <w:bCs/>
          <w:i w:val="0"/>
          <w:iCs w:val="0"/>
          <w:sz w:val="21"/>
          <w:szCs w:val="21"/>
          <w:lang w:val="en-US" w:eastAsia="zh-CN"/>
        </w:rPr>
        <w:t xml:space="preserve">in certain height </w:t>
      </w:r>
      <w:r>
        <w:rPr>
          <w:rFonts w:hint="eastAsia" w:cs="Times New Roman"/>
          <w:b/>
          <w:bCs/>
          <w:i w:val="0"/>
          <w:iCs w:val="0"/>
          <w:sz w:val="21"/>
          <w:szCs w:val="21"/>
          <w:lang w:val="en-US" w:eastAsia="zh-CN"/>
        </w:rPr>
        <w:t>region. It is also beneficial</w:t>
      </w:r>
      <w:r>
        <w:rPr>
          <w:rFonts w:hint="default" w:ascii="Times New Roman" w:hAnsi="Times New Roman" w:cs="Times New Roman"/>
          <w:b/>
          <w:bCs/>
          <w:i w:val="0"/>
          <w:iCs w:val="0"/>
          <w:sz w:val="21"/>
          <w:szCs w:val="21"/>
          <w:lang w:val="en-US" w:eastAsia="zh-CN"/>
        </w:rPr>
        <w:t xml:space="preserve"> for mobility performance by avoid the impact of side lobe from far away cells.</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488" w:leftChars="0" w:hanging="1488" w:hangingChars="706"/>
        <w:jc w:val="left"/>
        <w:textAlignment w:val="auto"/>
        <w:rPr>
          <w:rFonts w:hint="default" w:ascii="Times New Roman" w:hAnsi="Times New Roman" w:cs="Times New Roman"/>
          <w:b/>
          <w:bCs/>
          <w:i w:val="0"/>
          <w:iCs w:val="0"/>
          <w:sz w:val="21"/>
          <w:szCs w:val="21"/>
          <w:lang w:val="en-US" w:eastAsia="zh-CN"/>
        </w:rPr>
      </w:pPr>
      <w:r>
        <w:rPr>
          <w:rFonts w:hint="default" w:ascii="Times New Roman" w:hAnsi="Times New Roman" w:cs="Times New Roman"/>
          <w:b/>
          <w:bCs/>
          <w:i w:val="0"/>
          <w:iCs w:val="0"/>
          <w:sz w:val="21"/>
          <w:szCs w:val="21"/>
          <w:lang w:val="en-US" w:eastAsia="zh-CN"/>
        </w:rPr>
        <w:t xml:space="preserve">Observation </w:t>
      </w:r>
      <w:r>
        <w:rPr>
          <w:rFonts w:hint="eastAsia" w:ascii="Times New Roman" w:hAnsi="Times New Roman" w:cs="Times New Roman"/>
          <w:b/>
          <w:bCs/>
          <w:i w:val="0"/>
          <w:iCs w:val="0"/>
          <w:sz w:val="21"/>
          <w:szCs w:val="21"/>
          <w:lang w:val="en-US" w:eastAsia="zh-CN"/>
        </w:rPr>
        <w:t>2</w:t>
      </w:r>
      <w:r>
        <w:rPr>
          <w:rFonts w:hint="default" w:ascii="Times New Roman" w:hAnsi="Times New Roman" w:cs="Times New Roman"/>
          <w:b/>
          <w:bCs/>
          <w:i w:val="0"/>
          <w:iCs w:val="0"/>
          <w:sz w:val="21"/>
          <w:szCs w:val="21"/>
          <w:lang w:val="en-US" w:eastAsia="zh-CN"/>
        </w:rPr>
        <w:t>: Height depend report co</w:t>
      </w:r>
      <w:bookmarkStart w:id="3" w:name="_GoBack"/>
      <w:bookmarkEnd w:id="3"/>
      <w:r>
        <w:rPr>
          <w:rFonts w:hint="default" w:ascii="Times New Roman" w:hAnsi="Times New Roman" w:cs="Times New Roman"/>
          <w:b/>
          <w:bCs/>
          <w:i w:val="0"/>
          <w:iCs w:val="0"/>
          <w:sz w:val="21"/>
          <w:szCs w:val="21"/>
          <w:lang w:val="en-US" w:eastAsia="zh-CN"/>
        </w:rPr>
        <w:t>nfiguration can be implemented by event combination which combine event H1/H2 and Ax events as already agreed in last RAN2 meeting.</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default" w:cs="Times New Roman"/>
          <w:b w:val="0"/>
          <w:bCs w:val="0"/>
          <w:i/>
          <w:iCs/>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default" w:ascii="Times New Roman" w:hAnsi="Times New Roman" w:cs="Times New Roman"/>
          <w:b/>
          <w:bCs/>
          <w:i w:val="0"/>
          <w:iCs w:val="0"/>
          <w:sz w:val="21"/>
          <w:szCs w:val="21"/>
          <w:lang w:val="en-US" w:eastAsia="zh-CN"/>
        </w:rPr>
      </w:pPr>
      <w:r>
        <w:rPr>
          <w:rFonts w:hint="default" w:ascii="Times New Roman" w:hAnsi="Times New Roman" w:cs="Times New Roman"/>
          <w:b/>
          <w:bCs/>
          <w:i w:val="0"/>
          <w:iCs w:val="0"/>
          <w:sz w:val="21"/>
          <w:szCs w:val="21"/>
          <w:lang w:val="en-US" w:eastAsia="zh-CN"/>
        </w:rPr>
        <w:t>Proposal</w:t>
      </w:r>
      <w:r>
        <w:rPr>
          <w:rFonts w:hint="eastAsia" w:ascii="Times New Roman" w:hAnsi="Times New Roman" w:cs="Times New Roman"/>
          <w:b/>
          <w:bCs/>
          <w:i w:val="0"/>
          <w:iCs w:val="0"/>
          <w:sz w:val="21"/>
          <w:szCs w:val="21"/>
          <w:lang w:val="en-US" w:eastAsia="zh-CN"/>
        </w:rPr>
        <w:t xml:space="preserve"> </w:t>
      </w:r>
      <w:r>
        <w:rPr>
          <w:rFonts w:hint="eastAsia" w:cs="Times New Roman"/>
          <w:b/>
          <w:bCs/>
          <w:i w:val="0"/>
          <w:iCs w:val="0"/>
          <w:sz w:val="21"/>
          <w:szCs w:val="21"/>
          <w:lang w:val="en-US" w:eastAsia="zh-CN"/>
        </w:rPr>
        <w:t>1</w:t>
      </w:r>
      <w:r>
        <w:rPr>
          <w:rFonts w:hint="default" w:ascii="Times New Roman" w:hAnsi="Times New Roman" w:cs="Times New Roman"/>
          <w:b/>
          <w:bCs/>
          <w:i w:val="0"/>
          <w:iCs w:val="0"/>
          <w:sz w:val="21"/>
          <w:szCs w:val="21"/>
          <w:lang w:val="en-US" w:eastAsia="zh-CN"/>
        </w:rPr>
        <w:t>:</w:t>
      </w:r>
      <w:r>
        <w:rPr>
          <w:rFonts w:hint="eastAsia" w:ascii="Times New Roman" w:hAnsi="Times New Roman" w:cs="Times New Roman"/>
          <w:b/>
          <w:bCs/>
          <w:i w:val="0"/>
          <w:iCs w:val="0"/>
          <w:sz w:val="21"/>
          <w:szCs w:val="21"/>
          <w:lang w:val="en-US" w:eastAsia="zh-CN"/>
        </w:rPr>
        <w:t xml:space="preserve"> To introduce height-dependent values</w:t>
      </w:r>
      <w:r>
        <w:rPr>
          <w:rFonts w:hint="eastAsia" w:cs="Times New Roman"/>
          <w:b/>
          <w:bCs/>
          <w:i w:val="0"/>
          <w:iCs w:val="0"/>
          <w:sz w:val="21"/>
          <w:szCs w:val="21"/>
          <w:lang w:val="en-US" w:eastAsia="zh-CN"/>
        </w:rPr>
        <w:t>/fields but not</w:t>
      </w:r>
      <w:r>
        <w:rPr>
          <w:rFonts w:hint="eastAsia" w:ascii="Times New Roman" w:hAnsi="Times New Roman" w:cs="Times New Roman"/>
          <w:b/>
          <w:bCs/>
          <w:i w:val="0"/>
          <w:iCs w:val="0"/>
          <w:sz w:val="21"/>
          <w:szCs w:val="21"/>
          <w:lang w:val="en-US" w:eastAsia="zh-CN"/>
        </w:rPr>
        <w:t xml:space="preserve"> height-dependent MO.</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default" w:ascii="Times New Roman" w:hAnsi="Times New Roman" w:cs="Times New Roman"/>
          <w:b/>
          <w:bCs/>
          <w:i w:val="0"/>
          <w:iCs w:val="0"/>
          <w:sz w:val="21"/>
          <w:szCs w:val="21"/>
          <w:lang w:val="en-US" w:eastAsia="zh-CN"/>
        </w:rPr>
      </w:pPr>
      <w:r>
        <w:rPr>
          <w:rFonts w:hint="default"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2</w:t>
      </w:r>
      <w:r>
        <w:rPr>
          <w:rFonts w:hint="default" w:ascii="Times New Roman" w:hAnsi="Times New Roman" w:cs="Times New Roman"/>
          <w:b/>
          <w:bCs/>
          <w:i w:val="0"/>
          <w:iCs w:val="0"/>
          <w:sz w:val="21"/>
          <w:szCs w:val="21"/>
          <w:lang w:val="en-US" w:eastAsia="zh-CN"/>
        </w:rPr>
        <w:t>: RAN2 to introduce height-dependent RS/beam configuration for NR UAV, e.g. multiple set</w:t>
      </w:r>
      <w:r>
        <w:rPr>
          <w:rFonts w:hint="eastAsia" w:cs="Times New Roman"/>
          <w:b/>
          <w:bCs/>
          <w:i w:val="0"/>
          <w:iCs w:val="0"/>
          <w:sz w:val="21"/>
          <w:szCs w:val="21"/>
          <w:lang w:val="en-US" w:eastAsia="zh-CN"/>
        </w:rPr>
        <w:t>s</w:t>
      </w:r>
      <w:r>
        <w:rPr>
          <w:rFonts w:hint="default" w:ascii="Times New Roman" w:hAnsi="Times New Roman" w:cs="Times New Roman"/>
          <w:b/>
          <w:bCs/>
          <w:i w:val="0"/>
          <w:iCs w:val="0"/>
          <w:sz w:val="21"/>
          <w:szCs w:val="21"/>
          <w:lang w:val="en-US" w:eastAsia="zh-CN"/>
        </w:rPr>
        <w:t xml:space="preserve"> of SSB-ToMeasure associated with different height</w:t>
      </w:r>
      <w:r>
        <w:rPr>
          <w:rFonts w:hint="eastAsia" w:cs="Times New Roman"/>
          <w:b/>
          <w:bCs/>
          <w:i w:val="0"/>
          <w:iCs w:val="0"/>
          <w:sz w:val="21"/>
          <w:szCs w:val="21"/>
          <w:lang w:val="en-US" w:eastAsia="zh-CN"/>
        </w:rPr>
        <w:t xml:space="preserve"> region</w:t>
      </w:r>
      <w:r>
        <w:rPr>
          <w:rFonts w:hint="default" w:ascii="Times New Roman" w:hAnsi="Times New Roman" w:cs="Times New Roman"/>
          <w:b/>
          <w:bCs/>
          <w:i w:val="0"/>
          <w:iCs w:val="0"/>
          <w:sz w:val="21"/>
          <w:szCs w:val="21"/>
          <w:lang w:val="en-US" w:eastAsia="zh-CN"/>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keepNext w:val="0"/>
        <w:keepLines w:val="0"/>
        <w:pageBreakBefore w:val="0"/>
        <w:widowControl w:val="0"/>
        <w:numPr>
          <w:ilvl w:val="0"/>
          <w:numId w:val="5"/>
        </w:numPr>
        <w:kinsoku/>
        <w:wordWrap/>
        <w:overflowPunct w:val="0"/>
        <w:topLinePunct w:val="0"/>
        <w:autoSpaceDE w:val="0"/>
        <w:autoSpaceDN w:val="0"/>
        <w:bidi w:val="0"/>
        <w:adjustRightInd w:val="0"/>
        <w:snapToGrid/>
        <w:spacing w:after="120" w:line="240" w:lineRule="auto"/>
        <w:ind w:left="357" w:hanging="357"/>
        <w:textAlignment w:val="baseline"/>
        <w:rPr>
          <w:rFonts w:hint="eastAsia"/>
          <w:lang w:val="en-US" w:eastAsia="zh-CN"/>
        </w:rPr>
      </w:pPr>
      <w:r>
        <w:rPr>
          <w:rFonts w:hint="eastAsia"/>
          <w:lang w:val="en-US" w:eastAsia="zh-CN"/>
        </w:rPr>
        <w:t>RAN2#121 chairman notes</w:t>
      </w:r>
    </w:p>
    <w:p>
      <w:pPr>
        <w:keepNext w:val="0"/>
        <w:keepLines w:val="0"/>
        <w:pageBreakBefore w:val="0"/>
        <w:widowControl w:val="0"/>
        <w:numPr>
          <w:ilvl w:val="0"/>
          <w:numId w:val="5"/>
        </w:numPr>
        <w:kinsoku/>
        <w:wordWrap/>
        <w:overflowPunct w:val="0"/>
        <w:topLinePunct w:val="0"/>
        <w:autoSpaceDE w:val="0"/>
        <w:autoSpaceDN w:val="0"/>
        <w:bidi w:val="0"/>
        <w:adjustRightInd w:val="0"/>
        <w:snapToGrid/>
        <w:spacing w:after="120" w:line="240" w:lineRule="auto"/>
        <w:ind w:left="357" w:hanging="357"/>
        <w:textAlignment w:val="baseline"/>
        <w:rPr>
          <w:rFonts w:hint="eastAsia"/>
          <w:lang w:val="en-US" w:eastAsia="zh-CN"/>
        </w:rPr>
      </w:pPr>
      <w:r>
        <w:rPr>
          <w:rFonts w:hint="eastAsia"/>
          <w:lang w:val="en-US" w:eastAsia="zh-CN"/>
        </w:rPr>
        <w:t>Report of [POST121][313][UAV] Height-dependent configuration</w:t>
      </w:r>
    </w:p>
    <w:p>
      <w:pPr>
        <w:rPr>
          <w:rFonts w:hint="default"/>
          <w:lang w:val="en-US" w:eastAsia="zh-CN"/>
        </w:rPr>
      </w:pPr>
    </w:p>
    <w:sectPr>
      <w:pgSz w:w="11906" w:h="16838"/>
      <w:pgMar w:top="1417" w:right="1134" w:bottom="1134" w:left="113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1D870E8"/>
    <w:multiLevelType w:val="multilevel"/>
    <w:tmpl w:val="31D870E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90"/>
  <w:doNotDisplayPageBoundaries w:val="1"/>
  <w:bordersDoNotSurroundHeader w:val="0"/>
  <w:bordersDoNotSurroundFooter w:val="0"/>
  <w:documentProtection w:enforcement="0"/>
  <w:defaultTabStop w:val="420"/>
  <w:hyphenationZone w:val="283"/>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C6FA5"/>
    <w:rsid w:val="028F0371"/>
    <w:rsid w:val="0293518F"/>
    <w:rsid w:val="0297259A"/>
    <w:rsid w:val="029C0A9A"/>
    <w:rsid w:val="02A2536A"/>
    <w:rsid w:val="02A7793D"/>
    <w:rsid w:val="02A8763C"/>
    <w:rsid w:val="02BA02BA"/>
    <w:rsid w:val="02C62E55"/>
    <w:rsid w:val="02E712F2"/>
    <w:rsid w:val="02E968F1"/>
    <w:rsid w:val="0310429F"/>
    <w:rsid w:val="03130048"/>
    <w:rsid w:val="03202434"/>
    <w:rsid w:val="03204437"/>
    <w:rsid w:val="032C42D8"/>
    <w:rsid w:val="033E499A"/>
    <w:rsid w:val="0347521D"/>
    <w:rsid w:val="035A5498"/>
    <w:rsid w:val="035B5483"/>
    <w:rsid w:val="03685A69"/>
    <w:rsid w:val="036C3B3B"/>
    <w:rsid w:val="037175E3"/>
    <w:rsid w:val="03857386"/>
    <w:rsid w:val="03892EFE"/>
    <w:rsid w:val="03994D1D"/>
    <w:rsid w:val="039A2405"/>
    <w:rsid w:val="039A4F82"/>
    <w:rsid w:val="039A7700"/>
    <w:rsid w:val="03A13B95"/>
    <w:rsid w:val="03B2360F"/>
    <w:rsid w:val="03BD31AF"/>
    <w:rsid w:val="03BE00C0"/>
    <w:rsid w:val="03D52450"/>
    <w:rsid w:val="03D63228"/>
    <w:rsid w:val="03E65927"/>
    <w:rsid w:val="03E9137F"/>
    <w:rsid w:val="03EA7693"/>
    <w:rsid w:val="03EB5E4F"/>
    <w:rsid w:val="03EC1D7B"/>
    <w:rsid w:val="03F148CD"/>
    <w:rsid w:val="03F334EB"/>
    <w:rsid w:val="03F61A65"/>
    <w:rsid w:val="03FA694A"/>
    <w:rsid w:val="03FE0DFE"/>
    <w:rsid w:val="04067142"/>
    <w:rsid w:val="040D6866"/>
    <w:rsid w:val="04167747"/>
    <w:rsid w:val="041C2081"/>
    <w:rsid w:val="042320E4"/>
    <w:rsid w:val="043373F7"/>
    <w:rsid w:val="043C128A"/>
    <w:rsid w:val="043E7F06"/>
    <w:rsid w:val="044469A4"/>
    <w:rsid w:val="04456CA0"/>
    <w:rsid w:val="0451320B"/>
    <w:rsid w:val="045749CF"/>
    <w:rsid w:val="045763FA"/>
    <w:rsid w:val="046F1C6A"/>
    <w:rsid w:val="047034F5"/>
    <w:rsid w:val="04754B65"/>
    <w:rsid w:val="04861082"/>
    <w:rsid w:val="048A123B"/>
    <w:rsid w:val="048C5BD9"/>
    <w:rsid w:val="04996B65"/>
    <w:rsid w:val="04C02971"/>
    <w:rsid w:val="04EB5671"/>
    <w:rsid w:val="04ED36E0"/>
    <w:rsid w:val="04FB5FD2"/>
    <w:rsid w:val="050C31AF"/>
    <w:rsid w:val="05174168"/>
    <w:rsid w:val="051E36E6"/>
    <w:rsid w:val="053166CA"/>
    <w:rsid w:val="05332C41"/>
    <w:rsid w:val="054C7D3F"/>
    <w:rsid w:val="054D4214"/>
    <w:rsid w:val="05526E77"/>
    <w:rsid w:val="056D39BD"/>
    <w:rsid w:val="05710C88"/>
    <w:rsid w:val="058267E3"/>
    <w:rsid w:val="058442CB"/>
    <w:rsid w:val="05961927"/>
    <w:rsid w:val="05B21BDC"/>
    <w:rsid w:val="05D1713F"/>
    <w:rsid w:val="05D92123"/>
    <w:rsid w:val="05DB1F60"/>
    <w:rsid w:val="05E024B6"/>
    <w:rsid w:val="05F13BE9"/>
    <w:rsid w:val="05F178AC"/>
    <w:rsid w:val="06017A73"/>
    <w:rsid w:val="06022874"/>
    <w:rsid w:val="060A555D"/>
    <w:rsid w:val="06136726"/>
    <w:rsid w:val="061F64DF"/>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4A02C8"/>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47A29"/>
    <w:rsid w:val="07E62C3B"/>
    <w:rsid w:val="07EC790A"/>
    <w:rsid w:val="07F50292"/>
    <w:rsid w:val="07FE63E8"/>
    <w:rsid w:val="080264AE"/>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E003FA"/>
    <w:rsid w:val="0AF957A7"/>
    <w:rsid w:val="0AFB4824"/>
    <w:rsid w:val="0B104C80"/>
    <w:rsid w:val="0B1537E9"/>
    <w:rsid w:val="0B1B0258"/>
    <w:rsid w:val="0B1D1E17"/>
    <w:rsid w:val="0B2F5449"/>
    <w:rsid w:val="0B3A6177"/>
    <w:rsid w:val="0B542366"/>
    <w:rsid w:val="0B565EA1"/>
    <w:rsid w:val="0B56665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0192A"/>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3C52DB"/>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CF5D35"/>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31939"/>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9705A"/>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AF376D"/>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2D53"/>
    <w:rsid w:val="10633DE5"/>
    <w:rsid w:val="106C51AC"/>
    <w:rsid w:val="107B7142"/>
    <w:rsid w:val="10834BCA"/>
    <w:rsid w:val="1085601B"/>
    <w:rsid w:val="10870262"/>
    <w:rsid w:val="10993A5B"/>
    <w:rsid w:val="109A2B86"/>
    <w:rsid w:val="109C7E53"/>
    <w:rsid w:val="109D01C9"/>
    <w:rsid w:val="109E5C77"/>
    <w:rsid w:val="10A15BAF"/>
    <w:rsid w:val="10A54549"/>
    <w:rsid w:val="10AD1F54"/>
    <w:rsid w:val="10B20497"/>
    <w:rsid w:val="10B2230B"/>
    <w:rsid w:val="10BA6965"/>
    <w:rsid w:val="10C91FA9"/>
    <w:rsid w:val="10D80BBB"/>
    <w:rsid w:val="10DC7FF8"/>
    <w:rsid w:val="10F55A3F"/>
    <w:rsid w:val="110651DD"/>
    <w:rsid w:val="110A40E9"/>
    <w:rsid w:val="11186F4B"/>
    <w:rsid w:val="11276D5B"/>
    <w:rsid w:val="112A395D"/>
    <w:rsid w:val="112C68E5"/>
    <w:rsid w:val="113112D9"/>
    <w:rsid w:val="11407272"/>
    <w:rsid w:val="114E07E1"/>
    <w:rsid w:val="115246AD"/>
    <w:rsid w:val="116C5EAE"/>
    <w:rsid w:val="116F5D3F"/>
    <w:rsid w:val="117E1607"/>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C22B12"/>
    <w:rsid w:val="12D86D99"/>
    <w:rsid w:val="12EC625A"/>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CE016D"/>
    <w:rsid w:val="13D94098"/>
    <w:rsid w:val="13DD35D9"/>
    <w:rsid w:val="13ED1CD8"/>
    <w:rsid w:val="13F54FCF"/>
    <w:rsid w:val="13FF2E83"/>
    <w:rsid w:val="14005403"/>
    <w:rsid w:val="140300D1"/>
    <w:rsid w:val="141C1A37"/>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35136"/>
    <w:rsid w:val="14E44113"/>
    <w:rsid w:val="14EA55B7"/>
    <w:rsid w:val="150E4907"/>
    <w:rsid w:val="151F751C"/>
    <w:rsid w:val="153D235D"/>
    <w:rsid w:val="154821B7"/>
    <w:rsid w:val="154A1648"/>
    <w:rsid w:val="154E25E9"/>
    <w:rsid w:val="155810A4"/>
    <w:rsid w:val="155C65AE"/>
    <w:rsid w:val="156A61CE"/>
    <w:rsid w:val="156B3378"/>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85AA9"/>
    <w:rsid w:val="15FD7743"/>
    <w:rsid w:val="160F2C35"/>
    <w:rsid w:val="161C2166"/>
    <w:rsid w:val="16203964"/>
    <w:rsid w:val="162810CA"/>
    <w:rsid w:val="16314D23"/>
    <w:rsid w:val="164F3FB1"/>
    <w:rsid w:val="16542691"/>
    <w:rsid w:val="16545026"/>
    <w:rsid w:val="165663D1"/>
    <w:rsid w:val="16585FCB"/>
    <w:rsid w:val="16620331"/>
    <w:rsid w:val="16657E45"/>
    <w:rsid w:val="166B5FF5"/>
    <w:rsid w:val="16704C85"/>
    <w:rsid w:val="16744071"/>
    <w:rsid w:val="167C5BDC"/>
    <w:rsid w:val="1680645E"/>
    <w:rsid w:val="168821FC"/>
    <w:rsid w:val="168F585F"/>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82606"/>
    <w:rsid w:val="174B3A7D"/>
    <w:rsid w:val="175454DC"/>
    <w:rsid w:val="17636FAF"/>
    <w:rsid w:val="17702879"/>
    <w:rsid w:val="177761B3"/>
    <w:rsid w:val="178424FA"/>
    <w:rsid w:val="178D2C84"/>
    <w:rsid w:val="178D7F71"/>
    <w:rsid w:val="179E7495"/>
    <w:rsid w:val="17A026E1"/>
    <w:rsid w:val="17A21E1C"/>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9F09F3"/>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15582"/>
    <w:rsid w:val="1AF21DA7"/>
    <w:rsid w:val="1AFD5642"/>
    <w:rsid w:val="1B097FBA"/>
    <w:rsid w:val="1B2542E6"/>
    <w:rsid w:val="1B2929AB"/>
    <w:rsid w:val="1B2C3E91"/>
    <w:rsid w:val="1B47772F"/>
    <w:rsid w:val="1B50538E"/>
    <w:rsid w:val="1B5322E9"/>
    <w:rsid w:val="1B607248"/>
    <w:rsid w:val="1B612AFA"/>
    <w:rsid w:val="1B693EA3"/>
    <w:rsid w:val="1B6B1131"/>
    <w:rsid w:val="1B6C25E8"/>
    <w:rsid w:val="1B741476"/>
    <w:rsid w:val="1B793426"/>
    <w:rsid w:val="1B801536"/>
    <w:rsid w:val="1B8260BC"/>
    <w:rsid w:val="1B8A2061"/>
    <w:rsid w:val="1B8C3320"/>
    <w:rsid w:val="1B957FCF"/>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7F7184"/>
    <w:rsid w:val="1C804FFC"/>
    <w:rsid w:val="1C811EBE"/>
    <w:rsid w:val="1C8D3996"/>
    <w:rsid w:val="1C9C1BE4"/>
    <w:rsid w:val="1CA0266C"/>
    <w:rsid w:val="1CA36569"/>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41CD7"/>
    <w:rsid w:val="1DDE47B5"/>
    <w:rsid w:val="1DE56A6A"/>
    <w:rsid w:val="1DFD1A78"/>
    <w:rsid w:val="1DFD5D66"/>
    <w:rsid w:val="1E1C0F23"/>
    <w:rsid w:val="1E1D3350"/>
    <w:rsid w:val="1E2D3856"/>
    <w:rsid w:val="1E2E6394"/>
    <w:rsid w:val="1E3C2C1F"/>
    <w:rsid w:val="1E493A7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794D1A"/>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9E589F"/>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4F0CCB"/>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7233EF"/>
    <w:rsid w:val="238C2CA1"/>
    <w:rsid w:val="238E7B6A"/>
    <w:rsid w:val="238F69CD"/>
    <w:rsid w:val="2397196E"/>
    <w:rsid w:val="239C2C5D"/>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284"/>
    <w:rsid w:val="249F57D9"/>
    <w:rsid w:val="24A46A37"/>
    <w:rsid w:val="24AF0F0C"/>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05466"/>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463F9A"/>
    <w:rsid w:val="264A5177"/>
    <w:rsid w:val="26525ABF"/>
    <w:rsid w:val="26574E2B"/>
    <w:rsid w:val="265826A7"/>
    <w:rsid w:val="265D4625"/>
    <w:rsid w:val="266C527A"/>
    <w:rsid w:val="267056BF"/>
    <w:rsid w:val="2682002D"/>
    <w:rsid w:val="268426E2"/>
    <w:rsid w:val="26871BB0"/>
    <w:rsid w:val="2689072D"/>
    <w:rsid w:val="268D61F7"/>
    <w:rsid w:val="26915CA2"/>
    <w:rsid w:val="26BF485A"/>
    <w:rsid w:val="26E32255"/>
    <w:rsid w:val="26EA75CE"/>
    <w:rsid w:val="26EC6E10"/>
    <w:rsid w:val="26EF32CA"/>
    <w:rsid w:val="26F11DDD"/>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5F478B"/>
    <w:rsid w:val="2A6162EF"/>
    <w:rsid w:val="2A664904"/>
    <w:rsid w:val="2A6B5774"/>
    <w:rsid w:val="2A6C0C25"/>
    <w:rsid w:val="2A6C7032"/>
    <w:rsid w:val="2A712586"/>
    <w:rsid w:val="2A750383"/>
    <w:rsid w:val="2A7504B4"/>
    <w:rsid w:val="2A750734"/>
    <w:rsid w:val="2A750FDD"/>
    <w:rsid w:val="2A75687F"/>
    <w:rsid w:val="2A772052"/>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733E5F"/>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C0C2E"/>
    <w:rsid w:val="2D9E7AAD"/>
    <w:rsid w:val="2DA10413"/>
    <w:rsid w:val="2DA506A9"/>
    <w:rsid w:val="2DB46007"/>
    <w:rsid w:val="2DC92410"/>
    <w:rsid w:val="2DCB4BB9"/>
    <w:rsid w:val="2DD70417"/>
    <w:rsid w:val="2DDB0F96"/>
    <w:rsid w:val="2DE35418"/>
    <w:rsid w:val="2E035274"/>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B86D2A"/>
    <w:rsid w:val="2EC81F77"/>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75D7B"/>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281E1B"/>
    <w:rsid w:val="303D2A1B"/>
    <w:rsid w:val="303E008C"/>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895B80"/>
    <w:rsid w:val="31963578"/>
    <w:rsid w:val="31A32722"/>
    <w:rsid w:val="31A91D45"/>
    <w:rsid w:val="31AC7DF1"/>
    <w:rsid w:val="31AE5339"/>
    <w:rsid w:val="31BA0E10"/>
    <w:rsid w:val="31BB2CDB"/>
    <w:rsid w:val="31C44658"/>
    <w:rsid w:val="31CB1EC5"/>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5683C"/>
    <w:rsid w:val="331B6EDE"/>
    <w:rsid w:val="33313D66"/>
    <w:rsid w:val="33352864"/>
    <w:rsid w:val="33385346"/>
    <w:rsid w:val="33397206"/>
    <w:rsid w:val="33451D77"/>
    <w:rsid w:val="33516568"/>
    <w:rsid w:val="33530865"/>
    <w:rsid w:val="33547F1F"/>
    <w:rsid w:val="337169E0"/>
    <w:rsid w:val="33796778"/>
    <w:rsid w:val="337F01D0"/>
    <w:rsid w:val="3397431E"/>
    <w:rsid w:val="33986BF1"/>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52676"/>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191317"/>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20A33"/>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403EC"/>
    <w:rsid w:val="39C84667"/>
    <w:rsid w:val="39CA73AF"/>
    <w:rsid w:val="39DA71AF"/>
    <w:rsid w:val="39E530A4"/>
    <w:rsid w:val="39FF6602"/>
    <w:rsid w:val="3A033721"/>
    <w:rsid w:val="3A047EE6"/>
    <w:rsid w:val="3A0731EC"/>
    <w:rsid w:val="3A15267E"/>
    <w:rsid w:val="3A18263D"/>
    <w:rsid w:val="3A2549CE"/>
    <w:rsid w:val="3A2C6444"/>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3B1B30"/>
    <w:rsid w:val="3D4C08A0"/>
    <w:rsid w:val="3D4D4F31"/>
    <w:rsid w:val="3D5305FD"/>
    <w:rsid w:val="3D5B4F5D"/>
    <w:rsid w:val="3D5F34BD"/>
    <w:rsid w:val="3D6B33E8"/>
    <w:rsid w:val="3D752505"/>
    <w:rsid w:val="3D762AD7"/>
    <w:rsid w:val="3D7A5575"/>
    <w:rsid w:val="3D7D0F46"/>
    <w:rsid w:val="3D8370EF"/>
    <w:rsid w:val="3D87456C"/>
    <w:rsid w:val="3D892448"/>
    <w:rsid w:val="3D916D86"/>
    <w:rsid w:val="3D9210C1"/>
    <w:rsid w:val="3D92386C"/>
    <w:rsid w:val="3D9901D9"/>
    <w:rsid w:val="3D9A6A88"/>
    <w:rsid w:val="3D9C583A"/>
    <w:rsid w:val="3D9E378A"/>
    <w:rsid w:val="3DA1312A"/>
    <w:rsid w:val="3DB66C9C"/>
    <w:rsid w:val="3DB740CD"/>
    <w:rsid w:val="3DC60812"/>
    <w:rsid w:val="3DCA3E59"/>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C2C3F"/>
    <w:rsid w:val="40123B43"/>
    <w:rsid w:val="40151C80"/>
    <w:rsid w:val="40163B47"/>
    <w:rsid w:val="401A4816"/>
    <w:rsid w:val="404224B6"/>
    <w:rsid w:val="40432906"/>
    <w:rsid w:val="40433886"/>
    <w:rsid w:val="40516742"/>
    <w:rsid w:val="40573B87"/>
    <w:rsid w:val="405B60B6"/>
    <w:rsid w:val="40633FD6"/>
    <w:rsid w:val="406903C7"/>
    <w:rsid w:val="406930A8"/>
    <w:rsid w:val="406F59D7"/>
    <w:rsid w:val="40786C8E"/>
    <w:rsid w:val="40805B94"/>
    <w:rsid w:val="40813DBE"/>
    <w:rsid w:val="40830B74"/>
    <w:rsid w:val="40AA54F1"/>
    <w:rsid w:val="40C032DF"/>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576B0"/>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71C92"/>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27EEF"/>
    <w:rsid w:val="44290F04"/>
    <w:rsid w:val="44387B6B"/>
    <w:rsid w:val="44396033"/>
    <w:rsid w:val="443F24A6"/>
    <w:rsid w:val="444168F4"/>
    <w:rsid w:val="4445371E"/>
    <w:rsid w:val="444F4CC5"/>
    <w:rsid w:val="44723E90"/>
    <w:rsid w:val="447F2079"/>
    <w:rsid w:val="44905E4F"/>
    <w:rsid w:val="449307DD"/>
    <w:rsid w:val="449924D3"/>
    <w:rsid w:val="449C324D"/>
    <w:rsid w:val="44AE2C64"/>
    <w:rsid w:val="44AF364E"/>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70D5C"/>
    <w:rsid w:val="4638223A"/>
    <w:rsid w:val="4641025F"/>
    <w:rsid w:val="464B7611"/>
    <w:rsid w:val="46555121"/>
    <w:rsid w:val="4660177E"/>
    <w:rsid w:val="466E0F0B"/>
    <w:rsid w:val="4673382E"/>
    <w:rsid w:val="4675674D"/>
    <w:rsid w:val="468D1FB1"/>
    <w:rsid w:val="468F6773"/>
    <w:rsid w:val="469A330F"/>
    <w:rsid w:val="469F56A5"/>
    <w:rsid w:val="46AF29BC"/>
    <w:rsid w:val="46BD2696"/>
    <w:rsid w:val="46C86EBD"/>
    <w:rsid w:val="46DA4A29"/>
    <w:rsid w:val="46DE2697"/>
    <w:rsid w:val="46E26B7A"/>
    <w:rsid w:val="46EF6364"/>
    <w:rsid w:val="46F22FE0"/>
    <w:rsid w:val="46F85524"/>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05456"/>
    <w:rsid w:val="47DB202B"/>
    <w:rsid w:val="47E65C2F"/>
    <w:rsid w:val="47EB601C"/>
    <w:rsid w:val="47F664B8"/>
    <w:rsid w:val="47F76470"/>
    <w:rsid w:val="47FC1D1A"/>
    <w:rsid w:val="48052A48"/>
    <w:rsid w:val="48067F05"/>
    <w:rsid w:val="48082259"/>
    <w:rsid w:val="481A5198"/>
    <w:rsid w:val="481E5EE9"/>
    <w:rsid w:val="482C7A14"/>
    <w:rsid w:val="48305682"/>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8F825CF"/>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641940"/>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73CDB"/>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5362FD"/>
    <w:rsid w:val="4D536914"/>
    <w:rsid w:val="4D607AA8"/>
    <w:rsid w:val="4D6837B8"/>
    <w:rsid w:val="4D6A0811"/>
    <w:rsid w:val="4D6F6F69"/>
    <w:rsid w:val="4D776DC3"/>
    <w:rsid w:val="4D877D93"/>
    <w:rsid w:val="4D8B5937"/>
    <w:rsid w:val="4D905912"/>
    <w:rsid w:val="4D9159F5"/>
    <w:rsid w:val="4D96605A"/>
    <w:rsid w:val="4D98115A"/>
    <w:rsid w:val="4DA01148"/>
    <w:rsid w:val="4DB11BBF"/>
    <w:rsid w:val="4DC66735"/>
    <w:rsid w:val="4DCD73A9"/>
    <w:rsid w:val="4DDE509A"/>
    <w:rsid w:val="4DE74431"/>
    <w:rsid w:val="4DF21DFB"/>
    <w:rsid w:val="4DF661D4"/>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EFB75BE"/>
    <w:rsid w:val="4F0129AC"/>
    <w:rsid w:val="4F01717B"/>
    <w:rsid w:val="4F097167"/>
    <w:rsid w:val="4F0D434F"/>
    <w:rsid w:val="4F1F2B7E"/>
    <w:rsid w:val="4F2426EF"/>
    <w:rsid w:val="4F401FBB"/>
    <w:rsid w:val="4F4F565B"/>
    <w:rsid w:val="4F531102"/>
    <w:rsid w:val="4F576D7F"/>
    <w:rsid w:val="4F5A4BC4"/>
    <w:rsid w:val="4F626555"/>
    <w:rsid w:val="4F737DBA"/>
    <w:rsid w:val="4F7933F9"/>
    <w:rsid w:val="4F7B2A3C"/>
    <w:rsid w:val="4F8144A4"/>
    <w:rsid w:val="4F8731AB"/>
    <w:rsid w:val="4F903087"/>
    <w:rsid w:val="4FA80752"/>
    <w:rsid w:val="4FAD3702"/>
    <w:rsid w:val="4FB23F6E"/>
    <w:rsid w:val="4FC6748D"/>
    <w:rsid w:val="4FD14464"/>
    <w:rsid w:val="4FE20BB5"/>
    <w:rsid w:val="4FE6073F"/>
    <w:rsid w:val="4FE75848"/>
    <w:rsid w:val="4FEA51AE"/>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37BF5"/>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231A8"/>
    <w:rsid w:val="519705C8"/>
    <w:rsid w:val="519B3A9C"/>
    <w:rsid w:val="51B33439"/>
    <w:rsid w:val="51B3391D"/>
    <w:rsid w:val="51B66D18"/>
    <w:rsid w:val="51BD3E01"/>
    <w:rsid w:val="51CB7231"/>
    <w:rsid w:val="51DE6A73"/>
    <w:rsid w:val="51F326E7"/>
    <w:rsid w:val="52037937"/>
    <w:rsid w:val="521956B4"/>
    <w:rsid w:val="522D7AA8"/>
    <w:rsid w:val="52306F10"/>
    <w:rsid w:val="523F19CF"/>
    <w:rsid w:val="52463294"/>
    <w:rsid w:val="52473222"/>
    <w:rsid w:val="52491D69"/>
    <w:rsid w:val="524C1ED0"/>
    <w:rsid w:val="5252693E"/>
    <w:rsid w:val="525B21B3"/>
    <w:rsid w:val="5288723F"/>
    <w:rsid w:val="529D62AB"/>
    <w:rsid w:val="529F4D3D"/>
    <w:rsid w:val="52A764C0"/>
    <w:rsid w:val="52A77E20"/>
    <w:rsid w:val="52AA1D5D"/>
    <w:rsid w:val="52AA5BC1"/>
    <w:rsid w:val="52B27CEE"/>
    <w:rsid w:val="52C716E5"/>
    <w:rsid w:val="52C73CB6"/>
    <w:rsid w:val="52CC2515"/>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70B25"/>
    <w:rsid w:val="53FD74A7"/>
    <w:rsid w:val="54026475"/>
    <w:rsid w:val="54066812"/>
    <w:rsid w:val="540D2DB1"/>
    <w:rsid w:val="54113405"/>
    <w:rsid w:val="54265DCC"/>
    <w:rsid w:val="54564BA3"/>
    <w:rsid w:val="54591CC2"/>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812AC"/>
    <w:rsid w:val="54EA5084"/>
    <w:rsid w:val="54EC4FC7"/>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3252AC"/>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3B6A9D"/>
    <w:rsid w:val="57495B53"/>
    <w:rsid w:val="57555665"/>
    <w:rsid w:val="575F3DA0"/>
    <w:rsid w:val="575F7D63"/>
    <w:rsid w:val="57607DA2"/>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BC46BB"/>
    <w:rsid w:val="57C05330"/>
    <w:rsid w:val="57E46B48"/>
    <w:rsid w:val="57E47536"/>
    <w:rsid w:val="57F86A47"/>
    <w:rsid w:val="5801289D"/>
    <w:rsid w:val="58033F83"/>
    <w:rsid w:val="58034FDF"/>
    <w:rsid w:val="58051F1B"/>
    <w:rsid w:val="580F2CBC"/>
    <w:rsid w:val="581669AF"/>
    <w:rsid w:val="582A0100"/>
    <w:rsid w:val="582A6F6D"/>
    <w:rsid w:val="58336793"/>
    <w:rsid w:val="58446F01"/>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281BBA"/>
    <w:rsid w:val="59383FC3"/>
    <w:rsid w:val="593B0E3D"/>
    <w:rsid w:val="593E4705"/>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6D6215"/>
    <w:rsid w:val="5DA03427"/>
    <w:rsid w:val="5DA12B26"/>
    <w:rsid w:val="5DA52D6F"/>
    <w:rsid w:val="5DBE365D"/>
    <w:rsid w:val="5DCD3218"/>
    <w:rsid w:val="5DF242AA"/>
    <w:rsid w:val="5DF27D5A"/>
    <w:rsid w:val="5DF4322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6D4A6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53297"/>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CE283F"/>
    <w:rsid w:val="5FD32219"/>
    <w:rsid w:val="5FD370E2"/>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82DED"/>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E3524"/>
    <w:rsid w:val="640F7FA3"/>
    <w:rsid w:val="64102D47"/>
    <w:rsid w:val="64231810"/>
    <w:rsid w:val="64280937"/>
    <w:rsid w:val="64294638"/>
    <w:rsid w:val="642D5F34"/>
    <w:rsid w:val="642F435C"/>
    <w:rsid w:val="64307255"/>
    <w:rsid w:val="643136E1"/>
    <w:rsid w:val="64410116"/>
    <w:rsid w:val="64412FC5"/>
    <w:rsid w:val="644520C4"/>
    <w:rsid w:val="644A77C2"/>
    <w:rsid w:val="6475495F"/>
    <w:rsid w:val="64890815"/>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6D3E63"/>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5FD3C6D"/>
    <w:rsid w:val="660518AD"/>
    <w:rsid w:val="6607611A"/>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C54A6"/>
    <w:rsid w:val="679E7A1F"/>
    <w:rsid w:val="67AF466A"/>
    <w:rsid w:val="67AF7478"/>
    <w:rsid w:val="67B36D91"/>
    <w:rsid w:val="67CD4770"/>
    <w:rsid w:val="67DF5131"/>
    <w:rsid w:val="67E0527D"/>
    <w:rsid w:val="67E31422"/>
    <w:rsid w:val="67E9447E"/>
    <w:rsid w:val="67EA4D75"/>
    <w:rsid w:val="67F12CC4"/>
    <w:rsid w:val="67F50316"/>
    <w:rsid w:val="67F8136D"/>
    <w:rsid w:val="67FD5E3A"/>
    <w:rsid w:val="680B3317"/>
    <w:rsid w:val="682C3322"/>
    <w:rsid w:val="683407D5"/>
    <w:rsid w:val="683F785C"/>
    <w:rsid w:val="68570DC2"/>
    <w:rsid w:val="6865768E"/>
    <w:rsid w:val="6868422B"/>
    <w:rsid w:val="6870626F"/>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E0417"/>
    <w:rsid w:val="69BF1493"/>
    <w:rsid w:val="69C20911"/>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B2151"/>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101B2"/>
    <w:rsid w:val="6C866650"/>
    <w:rsid w:val="6CAF2677"/>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4A2F8D"/>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7A5CAA"/>
    <w:rsid w:val="6E8C7890"/>
    <w:rsid w:val="6E9821A1"/>
    <w:rsid w:val="6EA2047A"/>
    <w:rsid w:val="6EB02A3D"/>
    <w:rsid w:val="6EB61295"/>
    <w:rsid w:val="6ECE7848"/>
    <w:rsid w:val="6ECE78F2"/>
    <w:rsid w:val="6EDD0E4F"/>
    <w:rsid w:val="6EE45BEF"/>
    <w:rsid w:val="6EEB23CD"/>
    <w:rsid w:val="6EEB289D"/>
    <w:rsid w:val="6EEC2156"/>
    <w:rsid w:val="6EF76E3B"/>
    <w:rsid w:val="6F08121A"/>
    <w:rsid w:val="6F2E4584"/>
    <w:rsid w:val="6F5144F5"/>
    <w:rsid w:val="6F652332"/>
    <w:rsid w:val="6F6B6565"/>
    <w:rsid w:val="6F721BEC"/>
    <w:rsid w:val="6F7826CF"/>
    <w:rsid w:val="6F896002"/>
    <w:rsid w:val="6F8C1763"/>
    <w:rsid w:val="6F8F70CC"/>
    <w:rsid w:val="6F906381"/>
    <w:rsid w:val="6F917FAF"/>
    <w:rsid w:val="6F972CFB"/>
    <w:rsid w:val="6F9A3481"/>
    <w:rsid w:val="6F9A4FCC"/>
    <w:rsid w:val="6F9C1AEB"/>
    <w:rsid w:val="6F9F28E6"/>
    <w:rsid w:val="6F9F2DC4"/>
    <w:rsid w:val="6FAA3674"/>
    <w:rsid w:val="6FB07698"/>
    <w:rsid w:val="6FC07B20"/>
    <w:rsid w:val="6FDB7436"/>
    <w:rsid w:val="6FDC69C2"/>
    <w:rsid w:val="6FDF3A89"/>
    <w:rsid w:val="6FE07F82"/>
    <w:rsid w:val="6FE27248"/>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048FD"/>
    <w:rsid w:val="70A40930"/>
    <w:rsid w:val="70A7716A"/>
    <w:rsid w:val="70AA59AD"/>
    <w:rsid w:val="70B8391A"/>
    <w:rsid w:val="70C278F5"/>
    <w:rsid w:val="70C76086"/>
    <w:rsid w:val="70D55D00"/>
    <w:rsid w:val="70DC06A6"/>
    <w:rsid w:val="70DD4BB8"/>
    <w:rsid w:val="70E23125"/>
    <w:rsid w:val="70FF1E43"/>
    <w:rsid w:val="71092536"/>
    <w:rsid w:val="71093815"/>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562A15"/>
    <w:rsid w:val="726C5886"/>
    <w:rsid w:val="727205E6"/>
    <w:rsid w:val="727262A0"/>
    <w:rsid w:val="727B396C"/>
    <w:rsid w:val="72806500"/>
    <w:rsid w:val="728511DC"/>
    <w:rsid w:val="728A0199"/>
    <w:rsid w:val="72904C14"/>
    <w:rsid w:val="72906D0C"/>
    <w:rsid w:val="72A73849"/>
    <w:rsid w:val="72A84BC9"/>
    <w:rsid w:val="72CC0C1E"/>
    <w:rsid w:val="72DC084E"/>
    <w:rsid w:val="72E45B67"/>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56CB3"/>
    <w:rsid w:val="73EF795C"/>
    <w:rsid w:val="73F641AB"/>
    <w:rsid w:val="73F92E98"/>
    <w:rsid w:val="73FF2B0A"/>
    <w:rsid w:val="740E2030"/>
    <w:rsid w:val="74144EA0"/>
    <w:rsid w:val="741474A6"/>
    <w:rsid w:val="741D661B"/>
    <w:rsid w:val="741E6193"/>
    <w:rsid w:val="74291CE9"/>
    <w:rsid w:val="742A3BDB"/>
    <w:rsid w:val="74347BB6"/>
    <w:rsid w:val="743A3D1F"/>
    <w:rsid w:val="744426E2"/>
    <w:rsid w:val="745466A7"/>
    <w:rsid w:val="74601BD6"/>
    <w:rsid w:val="74713D51"/>
    <w:rsid w:val="74750914"/>
    <w:rsid w:val="74785503"/>
    <w:rsid w:val="74822038"/>
    <w:rsid w:val="74830D5C"/>
    <w:rsid w:val="748322C2"/>
    <w:rsid w:val="748C29E9"/>
    <w:rsid w:val="749E3408"/>
    <w:rsid w:val="74A60988"/>
    <w:rsid w:val="74AB4551"/>
    <w:rsid w:val="74B94487"/>
    <w:rsid w:val="74C02B00"/>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25867"/>
    <w:rsid w:val="75D769A5"/>
    <w:rsid w:val="75DB4086"/>
    <w:rsid w:val="75DF68BB"/>
    <w:rsid w:val="75E417B2"/>
    <w:rsid w:val="75EF6F95"/>
    <w:rsid w:val="75F4218D"/>
    <w:rsid w:val="76132FE4"/>
    <w:rsid w:val="761E3F90"/>
    <w:rsid w:val="762239BB"/>
    <w:rsid w:val="76272769"/>
    <w:rsid w:val="762A014F"/>
    <w:rsid w:val="76301DC9"/>
    <w:rsid w:val="763656E0"/>
    <w:rsid w:val="763C3EA3"/>
    <w:rsid w:val="76400507"/>
    <w:rsid w:val="764440D9"/>
    <w:rsid w:val="765C674B"/>
    <w:rsid w:val="7663578F"/>
    <w:rsid w:val="768E55DA"/>
    <w:rsid w:val="769F6C8C"/>
    <w:rsid w:val="76A0160E"/>
    <w:rsid w:val="76A54445"/>
    <w:rsid w:val="76B6222A"/>
    <w:rsid w:val="76BD097A"/>
    <w:rsid w:val="76C44FAF"/>
    <w:rsid w:val="76C5396B"/>
    <w:rsid w:val="76CE25D0"/>
    <w:rsid w:val="76D64223"/>
    <w:rsid w:val="76E30140"/>
    <w:rsid w:val="76E61D96"/>
    <w:rsid w:val="76EB730E"/>
    <w:rsid w:val="76F33325"/>
    <w:rsid w:val="76F63E3A"/>
    <w:rsid w:val="76F754DC"/>
    <w:rsid w:val="77253385"/>
    <w:rsid w:val="77363120"/>
    <w:rsid w:val="773D5084"/>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05E65"/>
    <w:rsid w:val="77B63286"/>
    <w:rsid w:val="77CE5948"/>
    <w:rsid w:val="77CF7217"/>
    <w:rsid w:val="77D55C5A"/>
    <w:rsid w:val="77D719C1"/>
    <w:rsid w:val="77D97597"/>
    <w:rsid w:val="77E17B5D"/>
    <w:rsid w:val="77F4062E"/>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6683C"/>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41573"/>
    <w:rsid w:val="78F51C92"/>
    <w:rsid w:val="78F72BFD"/>
    <w:rsid w:val="78FC5DA2"/>
    <w:rsid w:val="78FF404E"/>
    <w:rsid w:val="78FF5438"/>
    <w:rsid w:val="78FF75C8"/>
    <w:rsid w:val="790A5D98"/>
    <w:rsid w:val="790C504D"/>
    <w:rsid w:val="790D76E0"/>
    <w:rsid w:val="79137033"/>
    <w:rsid w:val="7914182E"/>
    <w:rsid w:val="7915512C"/>
    <w:rsid w:val="793C1FC0"/>
    <w:rsid w:val="79486213"/>
    <w:rsid w:val="794E1E8C"/>
    <w:rsid w:val="794E6DA1"/>
    <w:rsid w:val="795718DC"/>
    <w:rsid w:val="795A7853"/>
    <w:rsid w:val="79625528"/>
    <w:rsid w:val="7963001B"/>
    <w:rsid w:val="796411F3"/>
    <w:rsid w:val="796528F1"/>
    <w:rsid w:val="79782668"/>
    <w:rsid w:val="797D7C7B"/>
    <w:rsid w:val="798473C1"/>
    <w:rsid w:val="798D0CB1"/>
    <w:rsid w:val="799112AD"/>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35C8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0382F"/>
    <w:rsid w:val="7B77268D"/>
    <w:rsid w:val="7B7D6711"/>
    <w:rsid w:val="7B7F209E"/>
    <w:rsid w:val="7B854D5B"/>
    <w:rsid w:val="7B990D55"/>
    <w:rsid w:val="7B9D1C0D"/>
    <w:rsid w:val="7BA521B3"/>
    <w:rsid w:val="7BAD2945"/>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C3CEE"/>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B04B7"/>
    <w:rsid w:val="7F0E419C"/>
    <w:rsid w:val="7F1A430A"/>
    <w:rsid w:val="7F1A7380"/>
    <w:rsid w:val="7F1A7D15"/>
    <w:rsid w:val="7F1B6A1F"/>
    <w:rsid w:val="7F1C3521"/>
    <w:rsid w:val="7F1E4033"/>
    <w:rsid w:val="7F2C2C1A"/>
    <w:rsid w:val="7F341C62"/>
    <w:rsid w:val="7F497E6B"/>
    <w:rsid w:val="7F4C786A"/>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38"/>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paragraph" w:customStyle="1" w:styleId="66">
    <w:name w:val="Doc-title"/>
    <w:basedOn w:val="1"/>
    <w:next w:val="67"/>
    <w:link w:val="110"/>
    <w:qFormat/>
    <w:uiPriority w:val="0"/>
    <w:pPr>
      <w:widowControl/>
      <w:ind w:left="1260" w:hanging="1260"/>
      <w:jc w:val="left"/>
    </w:pPr>
    <w:rPr>
      <w:rFonts w:ascii="Arial" w:hAnsi="Arial" w:eastAsia="MS Mincho"/>
      <w:kern w:val="0"/>
      <w:sz w:val="20"/>
      <w:lang w:val="en-GB" w:eastAsia="en-GB"/>
    </w:rPr>
  </w:style>
  <w:style w:type="paragraph" w:customStyle="1" w:styleId="67">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8">
    <w:name w:val="Balloon Text Char"/>
    <w:basedOn w:val="58"/>
    <w:link w:val="36"/>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58"/>
    <w:link w:val="24"/>
    <w:qFormat/>
    <w:uiPriority w:val="0"/>
    <w:rPr>
      <w:rFonts w:ascii="宋体"/>
      <w:kern w:val="2"/>
      <w:sz w:val="18"/>
      <w:szCs w:val="18"/>
    </w:rPr>
  </w:style>
  <w:style w:type="character" w:customStyle="1" w:styleId="71">
    <w:name w:val="Heading 1 Char"/>
    <w:basedOn w:val="58"/>
    <w:link w:val="2"/>
    <w:qFormat/>
    <w:uiPriority w:val="0"/>
    <w:rPr>
      <w:b/>
      <w:bCs/>
      <w:kern w:val="44"/>
      <w:sz w:val="44"/>
      <w:szCs w:val="44"/>
    </w:rPr>
  </w:style>
  <w:style w:type="character" w:customStyle="1" w:styleId="72">
    <w:name w:val="Heading 2 Char"/>
    <w:basedOn w:val="58"/>
    <w:link w:val="3"/>
    <w:qFormat/>
    <w:uiPriority w:val="0"/>
    <w:rPr>
      <w:rFonts w:ascii="Arial" w:hAnsi="Arial" w:eastAsia="MS Mincho"/>
      <w:sz w:val="24"/>
      <w:szCs w:val="32"/>
      <w:lang w:val="en-GB"/>
    </w:rPr>
  </w:style>
  <w:style w:type="character" w:customStyle="1" w:styleId="73">
    <w:name w:val="Heading 3 Char"/>
    <w:basedOn w:val="58"/>
    <w:link w:val="4"/>
    <w:qFormat/>
    <w:uiPriority w:val="0"/>
    <w:rPr>
      <w:b/>
      <w:bCs/>
      <w:kern w:val="2"/>
      <w:sz w:val="32"/>
      <w:szCs w:val="32"/>
    </w:rPr>
  </w:style>
  <w:style w:type="character" w:customStyle="1" w:styleId="74">
    <w:name w:val="Heading 4 Char"/>
    <w:basedOn w:val="58"/>
    <w:link w:val="5"/>
    <w:qFormat/>
    <w:uiPriority w:val="0"/>
    <w:rPr>
      <w:rFonts w:ascii="Arial" w:hAnsi="Arial" w:eastAsia="黑体"/>
      <w:b/>
      <w:kern w:val="2"/>
      <w:sz w:val="28"/>
      <w:szCs w:val="24"/>
    </w:rPr>
  </w:style>
  <w:style w:type="character" w:customStyle="1" w:styleId="75">
    <w:name w:val="Heading 5 Char"/>
    <w:basedOn w:val="58"/>
    <w:link w:val="6"/>
    <w:qFormat/>
    <w:uiPriority w:val="0"/>
    <w:rPr>
      <w:b/>
      <w:kern w:val="2"/>
      <w:sz w:val="28"/>
      <w:szCs w:val="24"/>
    </w:rPr>
  </w:style>
  <w:style w:type="character" w:customStyle="1" w:styleId="76">
    <w:name w:val="Heading 6 Char"/>
    <w:basedOn w:val="58"/>
    <w:link w:val="7"/>
    <w:qFormat/>
    <w:uiPriority w:val="0"/>
    <w:rPr>
      <w:rFonts w:ascii="Arial" w:hAnsi="Arial" w:eastAsia="黑体"/>
      <w:b/>
      <w:kern w:val="2"/>
      <w:sz w:val="24"/>
      <w:szCs w:val="24"/>
    </w:rPr>
  </w:style>
  <w:style w:type="character" w:customStyle="1" w:styleId="77">
    <w:name w:val="Heading 7 Char"/>
    <w:basedOn w:val="58"/>
    <w:link w:val="8"/>
    <w:qFormat/>
    <w:uiPriority w:val="0"/>
    <w:rPr>
      <w:b/>
      <w:kern w:val="2"/>
      <w:sz w:val="24"/>
      <w:szCs w:val="24"/>
    </w:rPr>
  </w:style>
  <w:style w:type="character" w:customStyle="1" w:styleId="78">
    <w:name w:val="Heading 8 Char"/>
    <w:basedOn w:val="58"/>
    <w:link w:val="9"/>
    <w:qFormat/>
    <w:uiPriority w:val="0"/>
    <w:rPr>
      <w:rFonts w:ascii="Arial" w:hAnsi="Arial" w:eastAsia="黑体"/>
      <w:kern w:val="2"/>
      <w:sz w:val="24"/>
      <w:szCs w:val="24"/>
    </w:rPr>
  </w:style>
  <w:style w:type="character" w:customStyle="1" w:styleId="79">
    <w:name w:val="Heading 9 Char"/>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7"/>
    <w:next w:val="67"/>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6"/>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7"/>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67"/>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7"/>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7"/>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67"/>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0</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2023-04-07T02:47:15Z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